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大厂回族自治县发展和改革局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大厂回族自治县发展和改革局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第一条  </w:t>
      </w:r>
      <w:r>
        <w:rPr>
          <w:rFonts w:ascii="Times New Roman" w:hAnsi="Times New Roman" w:eastAsia="仿宋_GB2312" w:cs="Times New Roman"/>
          <w:color w:val="000000"/>
          <w:sz w:val="32"/>
          <w:szCs w:val="32"/>
        </w:rPr>
        <w:t>根据《中共廊坊市委办公室、廊坊市人民政府办公室关于印发&lt;大厂回族自治县机构改革方案&gt;的通知》（廊办字〔2018〕66号），制定本规定。</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第二条  </w:t>
      </w:r>
      <w:r>
        <w:rPr>
          <w:rFonts w:ascii="Times New Roman" w:hAnsi="Times New Roman" w:eastAsia="仿宋_GB2312" w:cs="Times New Roman"/>
          <w:color w:val="000000"/>
          <w:sz w:val="32"/>
          <w:szCs w:val="32"/>
        </w:rPr>
        <w:t>大厂回族自治县发展和改革局（简称县发展和改革局）为县政府工作部门，机构规格正科级,</w:t>
      </w:r>
      <w:r>
        <w:rPr>
          <w:rFonts w:ascii="Times New Roman" w:hAnsi="Times New Roman" w:eastAsia="仿宋_GB2312" w:cs="Times New Roman"/>
          <w:color w:val="000000"/>
          <w:sz w:val="32"/>
          <w:szCs w:val="24"/>
        </w:rPr>
        <w:t xml:space="preserve"> 挂县科学技术局、县工业和信息化局、县商务局、县粮食和物资储备局牌子。</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第三条  </w:t>
      </w:r>
      <w:r>
        <w:rPr>
          <w:rFonts w:ascii="Times New Roman" w:hAnsi="Times New Roman" w:eastAsia="仿宋" w:cs="Times New Roman"/>
          <w:color w:val="000000"/>
          <w:sz w:val="32"/>
          <w:szCs w:val="32"/>
        </w:rPr>
        <w:t>中共</w:t>
      </w:r>
      <w:r>
        <w:rPr>
          <w:rFonts w:ascii="Times New Roman" w:hAnsi="Times New Roman" w:eastAsia="仿宋_GB2312" w:cs="Times New Roman"/>
          <w:color w:val="000000"/>
          <w:sz w:val="32"/>
          <w:szCs w:val="32"/>
        </w:rPr>
        <w:t>大厂回族自治县委财经委员会办公室（简称县委财经办）设在县发展和改革局，接受委员会的直接领导，承担委员会的具体工作，组织开展全县财经重大问题的政策研究，协调督促有关方面落实委员会决定事项、工作部署和要求等。负责处理县委财经办日常事务。县发展和改革局的内设机构根据工作需要承担县委财经办相关工作，接受县委财经办的统筹协调。</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第四条  </w:t>
      </w:r>
      <w:r>
        <w:rPr>
          <w:rFonts w:ascii="Times New Roman" w:hAnsi="Times New Roman" w:eastAsia="仿宋_GB2312" w:cs="Times New Roman"/>
          <w:color w:val="000000"/>
          <w:sz w:val="32"/>
          <w:szCs w:val="32"/>
        </w:rPr>
        <w:t>贯彻落实党中央、省委、市委和县委关于发展改革工作的方针政策和决策部署，坚持和加强党对发展改革工作的集中统一领导。主要职责是：</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贯彻落实国家和省市有关内外贸易、国际经济合作、新型工业化、创新驱动等发展战略、方针、政策和法律法规，拟订并组织实施全县国民经济和社会发展战略、中长期规划和年度计划。牵头组织统一规划体系建设。负责县级专项规划、区域规划、空间规划与上下级发展规划的统筹衔接。拟订规范性文件。</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（二）提出加快建设全县现代化经济体系、推动高质量发展的总体目标、重大</w:t>
      </w:r>
      <w:r>
        <w:rPr>
          <w:rFonts w:ascii="Times New Roman" w:hAnsi="Times New Roman" w:eastAsia="仿宋_GB2312" w:cs="Times New Roman"/>
          <w:sz w:val="32"/>
          <w:szCs w:val="32"/>
        </w:rPr>
        <w:t>任务以及工业、科技、商业各相关专项规划意见建议。组织开展重大战略规划、重大</w:t>
      </w:r>
      <w:r>
        <w:rPr>
          <w:rFonts w:ascii="Times New Roman" w:hAnsi="Times New Roman" w:eastAsia="仿宋_GB2312" w:cs="Times New Roman"/>
          <w:color w:val="000000"/>
          <w:sz w:val="32"/>
          <w:szCs w:val="32"/>
        </w:rPr>
        <w:t>政策、重大工程等的评估督导，提出相关调整建议。</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指导推进和综合协调经济体制改革有关工作，提出相关改革建议。牵头推进供给侧结构性改革。落实产权制度和要素市场化配置改革。落实国家完善基本经济制度政策，推进现代化市场体系建设，会同有关部门组织实施市场准入负面清单制度。牵头推进优化营商环境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推进全县利用外资和境外投资的战略、规划、总量平衡和结构优化政策。牵头推进全县融入“一带一路”建设有关工作。承担统筹协调走出去有关工作。会同有关部门贯彻落实国家外商投资准入负面清单。负责全县全口径外债的总量控制、结构优化和监测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负责全县投资综合管理。拟订全县固定资产投资总规模、结构调控目标和政策，按规定提出政府投资项目审批权限和修订政府核准的固定资产投资项目目录建议。参与安排县级预算内基本建设资金和有关发展性专项资金，</w:t>
      </w:r>
      <w:r>
        <w:rPr>
          <w:rFonts w:ascii="Times New Roman" w:hAnsi="Times New Roman" w:eastAsia="仿宋_GB2312" w:cs="Times New Roman"/>
          <w:sz w:val="32"/>
          <w:szCs w:val="32"/>
        </w:rPr>
        <w:t>按规定做好项目备案，</w:t>
      </w:r>
      <w:r>
        <w:rPr>
          <w:rFonts w:ascii="Times New Roman" w:hAnsi="Times New Roman" w:eastAsia="仿宋_GB2312" w:cs="Times New Roman"/>
          <w:color w:val="000000"/>
          <w:sz w:val="32"/>
          <w:szCs w:val="32"/>
        </w:rPr>
        <w:t>同时做好审批、审核、核准的监督管理工作。规划全县重点建设项目和产业布局，组织推动重点建设项目。拟订并推动落实鼓励民间投资政策措施。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推进落实区域协调发展战略、新型城镇化战略和重大政策，组织拟订相关区域规划和政策。推进实施京津冀协同发展等区域发展战略的相关工作。统筹协调区域合作和对口支援工作。组织编制并推动实施新型城镇化规划。</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组织贯彻实施国家产业政策，拟订全县综合性产业政策。协调一二三产业发展重大问题并统筹衔接相关发展规划和重大政策。协调推进重大基础设施建设，组织拟订并推动实施服务业及现代物流业发展规划和重大政策。综合研判消费变动趋势，拟订实施促进消费的综合性政策措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九）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跟踪研判涉及经济安全、生态安全、资源安全、科技安全、社会安全等各类风险隐患，提出相关工作建议。协调落实重要工业品、原材料和重要农产品进出口调控措施。会同有关部门拟订全县储备物资品种目录、总体发展规划。</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一）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二）推进实施可持续发展战略，推动生态文明建设和改革，协调生态环境保护与修复、能源资源节约和综合利用等工作。提出健全生态保护补偿机制的政策措施，综合协调环保产业和清洁生产促进有关工作。组织实施全县能源消费控制目标、任务。</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（十三）组织拟订推进全县经济建设与国防建设协调发展的战略和规划，组织推进经济建设项目贯彻国防要求。</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（十四）承担县委财经委员会、县推进京津冀协同发展工作领导小组、县重点建设领导小组等有关具体工作。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五）组织落实国家、省有关粮食流通和物资储备的法律、法规和政策。拟订全县粮食流通和物资储备的政策和制度并组织实施。指导全县粮食流通和物资储备体制改革。落实国家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县级粮食和物资储备规划、储备品种目录建议，组织实施县级粮食、食糖和救灾物资等物资的收储、轮换和日常管理，落实有关动用计划和指令。负责贯彻落实国家粮食和物资储备仓储管理有关技术标准和规范。负责粮食流通、加工行业安全生产的监督管理，承担全县粮食、食糖和救灾物资等物资承储企业以及物资储备承储单位安全生产的监管责任。负责全县粮食、食糖和救灾物资等物资储备基础设施建设和管理。拟订粮食流通设施建设规划并组织实施，管理有关储备基础设施和粮食流通设施投资项目。负责对全县粮食、食糖和救灾物资等物资储备的数量、质量和储存安全实施监督管理。对其他部门管理的物资储备进行监督指导。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六）提出能源发展战略的建议，拟订能源利用规划、产业政策和年度指导计划并组织实施。推进能源体制改革，拟订有关改革方案并组织实施。协调能源发展和改革中的重大问题。组织实施煤炭、石油、天然气、电力(核电)、新能源和可再生能源等能源，以及生物质液体等燃料的产业政策和相关标准。按照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拟订与能源相关的资源、财税、环保及应对气候变化等政策，提出能源价格调整建议。</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（十七）监测分析全县工业运行态势，统计并发布相关信息，进行预测预警和信息引导。协调解决行业运行发展中的有关问题并提出政策建议。负责工业用电监测。负责工业应急管理、产业安全有关工作。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（十八）负责提出全县工业固定资产投资规模和方向（含利用外资和境外投资）以及财政性建设资金安排的意见，指</w:t>
      </w:r>
      <w:r>
        <w:rPr>
          <w:rFonts w:ascii="Times New Roman" w:hAnsi="Times New Roman" w:eastAsia="仿宋_GB2312" w:cs="Times New Roman"/>
          <w:sz w:val="32"/>
          <w:szCs w:val="32"/>
        </w:rPr>
        <w:t>导工业企业技术改造投资项目备案工作，并对上述工业固</w:t>
      </w:r>
      <w:r>
        <w:rPr>
          <w:rFonts w:ascii="Times New Roman" w:hAnsi="Times New Roman" w:eastAsia="仿宋_GB2312" w:cs="Times New Roman"/>
          <w:color w:val="000000"/>
          <w:sz w:val="32"/>
          <w:szCs w:val="32"/>
        </w:rPr>
        <w:t>定资产投资项目招标投标活动依法实施监督。</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（十九）负责对中小企业和民营经济促进工作进行指导、综合协调和监督检查，会同有关部门拟订促进中小企业发展和民营经济发展的相关政策和措施并组织实施，协调解决有关重大问题。</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贯彻落实国家政策和标准，拟订高技术产业中涉及生物医药、新材料、信息产业等规划并组织实施。指导行业技术创新和技术进步，以先进适用技术改造提升传统产业。推进实施有关国家、省、市、县科技重大专项，推进相关科研成果产业化，推动全县软件业、信息服务业和新兴产业发展。</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一）负责全县振兴装备制造业的组织协调，贯彻执行国家、省重大技术装备发展和自主创新规划、政策，依托国家、省、市和县重点工程建设协调有关重大专项的实施，推进重大技术装备国产化，指导引进重大技术装备的消化创新。</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（二十二）拟订并组织实施全县工业能源节约和资源综合利用促进政策，参与拟订能源节约和资源综合利用促进规划，组织协调相关重大示范工程和新产品、新技术、新设备、新材料的推广应用。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（二十三）推进全县工业体制改革和管理创新，提高行业综合素质和核心竞争力，指导工业行业加强安全生产管理，负责民爆行业生产流通的监督管理和安全生产工作。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（二十四）开展工业、中小企业的对外合作与交流。</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（二十五）承担履行《禁止化学武器公约》的组织协调工作。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（二十六）承担盐业行业管理工作。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（二十七）承担国民经济动员、装备动员以及交通战备有关职责，完成上级军民融合发展委员会办公室交办的任务。</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w:t>
      </w:r>
      <w:r>
        <w:rPr>
          <w:rFonts w:hint="eastAsia" w:ascii="Times New Roman" w:hAnsi="Times New Roman" w:eastAsia="仿宋_GB2312" w:cs="Times New Roman"/>
          <w:color w:val="000000"/>
          <w:sz w:val="32"/>
          <w:szCs w:val="32"/>
        </w:rPr>
        <w:t>八</w:t>
      </w:r>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提出流通体制改革</w:t>
      </w:r>
      <w:r>
        <w:rPr>
          <w:rFonts w:ascii="Times New Roman" w:hAnsi="Times New Roman" w:eastAsia="仿宋_GB2312" w:cs="Times New Roman"/>
          <w:color w:val="000000"/>
          <w:sz w:val="32"/>
          <w:szCs w:val="32"/>
        </w:rPr>
        <w:t>建议。负责推进流通产业结构调整，指导流通企业改革、商贸服务业和社区商业发展。提出促进商贸中小企业发展的政策建议，推动流通标准化和连锁经营、商业特许经营、物流配送、电子商务等现代流通方式的发展。指导全县流通领域信息网络和电子商务建设。</w:t>
      </w:r>
    </w:p>
    <w:p>
      <w:pPr>
        <w:spacing w:line="600" w:lineRule="exact"/>
        <w:ind w:firstLine="640" w:firstLineChars="200"/>
        <w:rPr>
          <w:rFonts w:ascii="Times New Roman" w:hAnsi="Times New Roman" w:eastAsia="仿宋_GB2312" w:cs="Times New Roman"/>
          <w:color w:val="000000"/>
          <w:sz w:val="32"/>
          <w:szCs w:val="32"/>
          <w:shd w:val="pct40" w:color="auto" w:fill="FFFFFF"/>
        </w:rPr>
      </w:pPr>
      <w:r>
        <w:rPr>
          <w:rFonts w:ascii="Times New Roman" w:hAnsi="Times New Roman" w:eastAsia="仿宋_GB2312" w:cs="Times New Roman"/>
          <w:sz w:val="32"/>
          <w:szCs w:val="32"/>
        </w:rPr>
        <w:t>(二十九)</w:t>
      </w:r>
      <w:r>
        <w:rPr>
          <w:rFonts w:ascii="Times New Roman" w:hAnsi="Times New Roman" w:eastAsia="仿宋_GB2312" w:cs="Times New Roman"/>
          <w:color w:val="000000"/>
          <w:sz w:val="32"/>
          <w:szCs w:val="32"/>
        </w:rPr>
        <w:t>牵头推进商务领域信用体系建设，建立商务诚信公共服务平台。规范商贸企业交易行为，牵头推动全县重要产品追溯体系建设。按有关规定对特殊流通行业进行监督管理。</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 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FF0000"/>
          <w:sz w:val="32"/>
          <w:szCs w:val="32"/>
        </w:rPr>
        <w:t xml:space="preserve"> </w:t>
      </w:r>
      <w:r>
        <w:rPr>
          <w:rFonts w:ascii="Times New Roman" w:hAnsi="Times New Roman" w:eastAsia="仿宋_GB2312" w:cs="Times New Roman"/>
          <w:color w:val="000000"/>
          <w:sz w:val="32"/>
          <w:szCs w:val="32"/>
        </w:rPr>
        <w:t>(三十一) 执行国家制定的进出口商品、加工贸易管理办法和进出口商品、技术目录。贯彻执行国家和省促进外贸增长方式转变的政策措施。组织实施国家制定的重要工业品、原材料和重要农产品进出口总量计划。会同有关部门协调大宗商品进出口。开展贸易促进活动和外贸促进体系建设。</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(三十二) 贯彻执行国家和省对外技术贸易、进出口管制以及鼓励技术和成套设备进出口的贸易政策。拟订和推进全县科技兴贸战略。依法监督技术引进、设备进口、国家限制出口技术的工作。</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(三十三) 会同有关部门贯彻执行国家和省促进服务出口和服务外包发展的规划、政策，牵头拟订全县服务贸易发展规划并组织实施。</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(三十四) 贯彻执行国家和省利用外资法律法规规章和外商投资产业政策。拟订全县外商投资政策并组织实施。依法监督检查外商投资企业执行有关法律法规、规章、合同章程的情况并协调解决有关问题。依法指导全县吸引外资及外商投资企业备案工作，规范开展对外招商引资活动。综合协调、指导国家级、省级经济开发区有关工作。指导和管理全县外商投资企业进出口工作。</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(三十五) 负责全县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县对外投资管理办法和具体政策。指导境外经贸园区有关工作。负责对外援助有关工作。推进全县对外投资和经济合作促进工作。</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(三十六) 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县相关产业的影响。建立产业安全预警机制。</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(三十七) 负责全县商务系统涉及世贸组织相关事务的研究、指导和服务工作，配合上级商务部门解决世贸组织框架下涉及我县的贸易争端，负责推进我县进出口贸易的标准化建设。</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(三十八) 贯彻执行国家制定的对自由贸易区国家和地区的经贸规划、政策，并组织实施，管理联合国及其他国际组织或外国政府对我县经济技术合作方面的无偿援助及赠款等发展合作业务。</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(三十九) 负责全县会展业促进与管理工作，组织参与境内外对外经济技术展览会和赴境外非商业性办展活动。</w:t>
      </w:r>
    </w:p>
    <w:p>
      <w:pPr>
        <w:spacing w:line="600" w:lineRule="exact"/>
        <w:ind w:firstLine="640" w:firstLineChars="200"/>
        <w:outlineLvl w:val="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(四十) 监测分析全县商务运行情况，承担全县商务系统对外宣传和信息发布工作。</w:t>
      </w:r>
    </w:p>
    <w:p>
      <w:pPr>
        <w:pStyle w:val="9"/>
        <w:spacing w:before="0" w:beforeAutospacing="0" w:after="0" w:afterAutospacing="0" w:line="600" w:lineRule="exact"/>
        <w:ind w:firstLine="640" w:firstLineChars="200"/>
        <w:jc w:val="both"/>
        <w:rPr>
          <w:rFonts w:ascii="Times New Roman" w:eastAsia="仿宋_GB2312" w:cs="Times New Roman"/>
          <w:color w:val="000000"/>
          <w:sz w:val="32"/>
          <w:szCs w:val="32"/>
        </w:rPr>
      </w:pPr>
      <w:r>
        <w:rPr>
          <w:rFonts w:ascii="Times New Roman" w:eastAsia="仿宋_GB2312" w:cs="Times New Roman"/>
          <w:color w:val="000000"/>
          <w:sz w:val="32"/>
          <w:szCs w:val="32"/>
        </w:rPr>
        <w:t>(四十</w:t>
      </w:r>
      <w:r>
        <w:rPr>
          <w:rFonts w:hint="eastAsia" w:ascii="Times New Roman" w:eastAsia="仿宋_GB2312" w:cs="Times New Roman"/>
          <w:color w:val="000000"/>
          <w:sz w:val="32"/>
          <w:szCs w:val="32"/>
        </w:rPr>
        <w:t>一</w:t>
      </w:r>
      <w:r>
        <w:rPr>
          <w:rFonts w:ascii="Times New Roman" w:eastAsia="仿宋_GB2312" w:cs="Times New Roman"/>
          <w:color w:val="000000"/>
          <w:sz w:val="32"/>
          <w:szCs w:val="32"/>
        </w:rPr>
        <w:t>)统筹推进全县创新体系建设和科技体制改革，会同有关部门健全技术创新激励机制。优化科研体系建设，指导科研机构改革发展，推动企业科技创新能力建设，承担推进科技军民融合发展相关工作，推进县重大科技决策咨询制度建设。</w:t>
      </w:r>
    </w:p>
    <w:p>
      <w:pPr>
        <w:pStyle w:val="9"/>
        <w:spacing w:before="0" w:beforeAutospacing="0" w:after="0" w:afterAutospacing="0" w:line="600" w:lineRule="exact"/>
        <w:ind w:firstLine="660"/>
        <w:jc w:val="both"/>
        <w:rPr>
          <w:rFonts w:ascii="Times New Roman" w:eastAsia="仿宋_GB2312" w:cs="Times New Roman"/>
          <w:color w:val="000000"/>
          <w:sz w:val="32"/>
          <w:szCs w:val="32"/>
        </w:rPr>
      </w:pPr>
      <w:r>
        <w:rPr>
          <w:rFonts w:ascii="Times New Roman" w:eastAsia="仿宋_GB2312" w:cs="Times New Roman"/>
          <w:color w:val="000000"/>
          <w:sz w:val="32"/>
          <w:szCs w:val="32"/>
        </w:rPr>
        <w:t>(四十</w:t>
      </w:r>
      <w:r>
        <w:rPr>
          <w:rFonts w:hint="eastAsia" w:ascii="Times New Roman" w:eastAsia="仿宋_GB2312" w:cs="Times New Roman"/>
          <w:color w:val="000000"/>
          <w:sz w:val="32"/>
          <w:szCs w:val="32"/>
        </w:rPr>
        <w:t>二</w:t>
      </w:r>
      <w:r>
        <w:rPr>
          <w:rFonts w:ascii="Times New Roman" w:eastAsia="仿宋_GB2312" w:cs="Times New Roman"/>
          <w:color w:val="000000"/>
          <w:sz w:val="32"/>
          <w:szCs w:val="32"/>
        </w:rPr>
        <w:t>)牵头建立统一的县级科技管理平台和科研项目资金协调、评估、监管机制。会同有关部门提出优化配置科技资源的政策措施建议，推动多元化科技投入体系建设，协调管理县级财政科技计划（专项、基金等）并监督实施。</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w:t>
      </w:r>
      <w:r>
        <w:rPr>
          <w:rFonts w:hint="eastAsia" w:ascii="Times New Roman" w:eastAsia="仿宋_GB2312" w:cs="Times New Roman"/>
          <w:color w:val="000000"/>
          <w:sz w:val="32"/>
          <w:szCs w:val="32"/>
        </w:rPr>
        <w:t>三</w:t>
      </w:r>
      <w:r>
        <w:rPr>
          <w:rFonts w:ascii="Times New Roman" w:eastAsia="仿宋_GB2312" w:cs="Times New Roman"/>
          <w:color w:val="000000"/>
          <w:sz w:val="32"/>
          <w:szCs w:val="32"/>
        </w:rPr>
        <w:t>)拟订重大科技创新基地建设规划并监督实施，推动科研条件保障、科技平台建设和科技资源开放共享。拟定基础研究规划、政策并组织实施，组织协调县重大基础研究和应用基础研究。</w:t>
      </w:r>
      <w:r>
        <w:rPr>
          <w:rFonts w:ascii="Times New Roman" w:eastAsia="仿宋_GB2312" w:cs="Times New Roman"/>
          <w:bCs/>
          <w:color w:val="000000"/>
          <w:sz w:val="32"/>
          <w:szCs w:val="32"/>
        </w:rPr>
        <w:t>组织推荐省自然科学基金项目</w:t>
      </w:r>
      <w:r>
        <w:rPr>
          <w:rFonts w:ascii="Times New Roman" w:eastAsia="仿宋_GB2312" w:cs="Times New Roman"/>
          <w:color w:val="000000"/>
          <w:sz w:val="32"/>
          <w:szCs w:val="32"/>
        </w:rPr>
        <w:t>。</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（四十四）编制县重大科技项目规划并监督实施，统筹关键共性技术、前沿引领技术、现代工程技术、颠覆性技术研发和创新，牵头组织重大技术攻关和成果应用示范。</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五）组织拟订高新技术发展及产业化、科技促进农业农村和社会发展的规划、政策和措施。组织开展重点领域技术发展需求分析，提出重大任务并监督实施。指导县内高新技术产业开发区、农业科技园区等科技园区建设。</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（四十六）牵头技术转移体系建设，拟订科技成果转移转化和促进产学研结合的相关政策措施并监督实施。指导科技服务业、技术市场和科技中介组织发展。</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（四十七）统筹区域科技创新体系建设，指导区域创新发展、科技资源合理布局和协同创新能力建设。</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（四十八）负责科技监督评价体系建设和相关科技评估管理，指导科技评价机制改革，统筹科研诚信建设。组织实施创新调查和科技报告制度，指导全县科技保密工作。</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四十九）拟订与域外科技合作和创新能力开放合作的规划、政策和措施，组织开展与域外科技合作交流。指导相关部门和县内高新技术产业开发区、农业科技园区对外科技合作交流工作，组织科技援外相关事宜。</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五十）负责引进国外智力工作。拟订县重点引进外国专家总体规划、计划并组织实施，建立外国高层次人才吸引集聚机制和重点外国专家联系服务机制。拟订出国（境）培训总体规划、政策和年度计划并监督实施。</w:t>
      </w:r>
    </w:p>
    <w:p>
      <w:pPr>
        <w:pStyle w:val="9"/>
        <w:spacing w:before="0" w:beforeAutospacing="0" w:after="0" w:afterAutospacing="0" w:line="600" w:lineRule="exact"/>
        <w:jc w:val="both"/>
        <w:rPr>
          <w:rFonts w:ascii="Times New Roman" w:eastAsia="仿宋_GB2312" w:cs="Times New Roman"/>
          <w:color w:val="000000"/>
          <w:sz w:val="32"/>
          <w:szCs w:val="32"/>
        </w:rPr>
      </w:pPr>
      <w:r>
        <w:rPr>
          <w:rFonts w:ascii="Times New Roman" w:eastAsia="仿宋_GB2312" w:cs="Times New Roman"/>
          <w:color w:val="000000"/>
          <w:sz w:val="32"/>
          <w:szCs w:val="32"/>
        </w:rPr>
        <w:t>　　（五十一）会同有关部门拟订科技人才队伍建设规划和政策，建立健全科技人才评价和激励机制，组织实施科技人才计划，推动高端科技创新人才队伍建设。</w:t>
      </w:r>
    </w:p>
    <w:p>
      <w:pPr>
        <w:pStyle w:val="9"/>
        <w:spacing w:before="0" w:beforeAutospacing="0" w:after="0" w:afterAutospacing="0" w:line="600" w:lineRule="exact"/>
        <w:jc w:val="both"/>
        <w:rPr>
          <w:rFonts w:ascii="Times New Roman" w:eastAsia="仿宋_GB2312" w:cs="Times New Roman"/>
          <w:color w:val="000000"/>
          <w:kern w:val="0"/>
          <w:sz w:val="32"/>
          <w:szCs w:val="32"/>
        </w:rPr>
      </w:pPr>
      <w:r>
        <w:rPr>
          <w:rFonts w:ascii="Times New Roman" w:eastAsia="仿宋_GB2312" w:cs="Times New Roman"/>
          <w:color w:val="000000"/>
          <w:sz w:val="32"/>
          <w:szCs w:val="32"/>
        </w:rPr>
        <w:t>　　（五十二）承</w:t>
      </w:r>
      <w:r>
        <w:rPr>
          <w:rFonts w:ascii="Times New Roman" w:eastAsia="仿宋_GB2312" w:cs="Times New Roman"/>
          <w:bCs/>
          <w:color w:val="000000"/>
          <w:sz w:val="32"/>
          <w:szCs w:val="32"/>
        </w:rPr>
        <w:t>担</w:t>
      </w:r>
      <w:r>
        <w:rPr>
          <w:rFonts w:ascii="Times New Roman" w:eastAsia="仿宋_GB2312" w:cs="Times New Roman"/>
          <w:color w:val="000000"/>
          <w:sz w:val="32"/>
          <w:szCs w:val="32"/>
        </w:rPr>
        <w:t>省科学技术奖、燕赵友谊奖的申报组织工作</w:t>
      </w:r>
      <w:r>
        <w:rPr>
          <w:rFonts w:ascii="Times New Roman" w:eastAsia="仿宋_GB2312" w:cs="Times New Roman"/>
          <w:color w:val="000000"/>
          <w:kern w:val="0"/>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（五十三）完成县委、县政府交办的其他任务。</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黑体" w:cs="Times New Roman"/>
          <w:color w:val="000000"/>
          <w:sz w:val="32"/>
          <w:szCs w:val="32"/>
        </w:rPr>
        <w:t xml:space="preserve">第五条  </w:t>
      </w:r>
      <w:r>
        <w:rPr>
          <w:rFonts w:ascii="Times New Roman" w:hAnsi="Times New Roman" w:eastAsia="仿宋_GB2312" w:cs="Times New Roman"/>
          <w:sz w:val="32"/>
          <w:szCs w:val="32"/>
        </w:rPr>
        <w:t>转变职能：贯彻新发展理念，把主要精力转到管宏观、谋全局、抓大事上来，加强跨部门、跨行业、跨领域的重大战略规划、重大改革、重大工程的综合协调，统筹全面创新改革，提高经济发展质量和效益。进一步减少微观管理事务和具体审批事项，最大限度减少政府对市场资源的直接配置，最大限度减少政府对市场活动的直接干预，提高资源配置效率和公平性，持续优化营商环境，激发各类市场主体活力。</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（一）强化拟订全县宏观经济和分管专项发展战略的职能，与相关部门配合完善县域规划体系，做好规划统筹，精简规划数量，提高规划质量，更好发挥发展战略、规划的导向作用。</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二）完善经济协调机制，创新调控方式，构建发展规划、财政、金融等政策协调和工作协同机制，强化经济监测预测预警能力，建立健全重大问题探究和政策储备工作机制，增强经济调节的前瞻性、针对性、协同性。</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三）深入推进简政放权，全面实施市场准入负面清单制度。深化投融资体制改革，最大限度减少项目审批范围。深化价格改革，及时修订调减政府定价目录，健全反映市场供求的定价机制。加快推进政府监管。充分发挥市场在资源配置中的决定性作用，</w:t>
      </w:r>
      <w:r>
        <w:rPr>
          <w:rFonts w:ascii="Times New Roman" w:hAnsi="Times New Roman" w:eastAsia="仿宋_GB2312" w:cs="Times New Roman"/>
          <w:spacing w:val="6"/>
          <w:sz w:val="32"/>
          <w:szCs w:val="32"/>
        </w:rPr>
        <w:t>进一步精简行政审批,减少环节,简化程序,提高效率,大幅降低制</w:t>
      </w:r>
      <w:r>
        <w:rPr>
          <w:rFonts w:ascii="Times New Roman" w:hAnsi="Times New Roman" w:eastAsia="仿宋_GB2312" w:cs="Times New Roman"/>
          <w:sz w:val="32"/>
          <w:szCs w:val="32"/>
        </w:rPr>
        <w:t>度性交易成本。</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（四）完善储备体系和运营方式，加强县级应急储备能力。进一步发挥政府储备引导作用，鼓励建立企业储备，融入市级储备与县级储备、政府储备与企业储备互为补充的协同运转格局。</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（五）加强市场分析预测和监测预警，充分运用大数据等科技手段，强化动态监控，提高储备防风险能力。增强储备在保障国家安全、稳定社会预期、引导市场方面的作用。</w:t>
      </w:r>
    </w:p>
    <w:p>
      <w:pPr>
        <w:adjustRightInd w:val="0"/>
        <w:snapToGrid w:val="0"/>
        <w:spacing w:line="60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六）加强监督管理，创新监管方式，全面推进“双随机、一公开”和“互联网+监管”，着力加强安全生产。根据储备总体发展规划和品种目录及动用指令，监督储备主体做好收储、轮换和日常管理，确保县级储备物资收得进、储得好、调得动、用得上。</w:t>
      </w:r>
    </w:p>
    <w:p>
      <w:pPr>
        <w:adjustRightInd w:val="0"/>
        <w:snapToGrid w:val="0"/>
        <w:spacing w:line="600" w:lineRule="exact"/>
        <w:ind w:firstLine="640" w:firstLineChars="200"/>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七）深入贯彻实施创新驱动发展战略、科教兴县战略、人才强县战略，加强、优化、转变政府科技管理和服务职能，完善科技创新管理手段，形成有效的制度和组织体系。加强宏观管理和统筹协调，减少微观管理和具体审批事项，加强事中事后监管和科研诚信建设。从研发管理向创新服务转变，深入推进科技计划管理改革，建立公开统一的县级科技管理平台，提高科技计划项目运行和资源配置效率。委托项目管理专业机构开展项目受理、评审等具体工作。</w:t>
      </w:r>
    </w:p>
    <w:p>
      <w:pPr>
        <w:spacing w:line="600" w:lineRule="exact"/>
        <w:ind w:firstLine="640" w:firstLineChars="200"/>
        <w:rPr>
          <w:rFonts w:ascii="Times New Roman" w:hAnsi="Times New Roman" w:eastAsia="仿宋_GB2312" w:cs="Times New Roman"/>
          <w:color w:val="FF0000"/>
          <w:sz w:val="32"/>
          <w:szCs w:val="32"/>
        </w:rPr>
      </w:pPr>
      <w:r>
        <w:rPr>
          <w:rFonts w:ascii="Times New Roman" w:hAnsi="Times New Roman" w:eastAsia="黑体" w:cs="Times New Roman"/>
          <w:color w:val="000000"/>
          <w:sz w:val="32"/>
          <w:szCs w:val="32"/>
        </w:rPr>
        <w:t>第六条</w:t>
      </w:r>
      <w:r>
        <w:rPr>
          <w:rFonts w:ascii="Times New Roman" w:hAnsi="Times New Roman" w:eastAsia="黑体" w:cs="Times New Roman"/>
          <w:color w:val="FF0000"/>
          <w:sz w:val="32"/>
          <w:szCs w:val="32"/>
        </w:rPr>
        <w:t xml:space="preserve">  </w:t>
      </w:r>
      <w:r>
        <w:rPr>
          <w:rFonts w:ascii="Times New Roman" w:hAnsi="Times New Roman" w:eastAsia="仿宋_GB2312" w:cs="Times New Roman"/>
          <w:sz w:val="32"/>
          <w:szCs w:val="32"/>
        </w:rPr>
        <w:t>有关职责分工：</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 与县卫生健康局有关职责分工。县发展和改革局负责组织监测和评估人口变动情况及趋势影响，建立人口预警预报制度，开展重大决策人口影响评估，完善重大人口政策咨询机制，研究提出全县人口发展战略，拟定人口发展规划和人口政策，研究提出人口与经济、社会、资源、环境协调可持续发展，以及统筹促进人口长期均衡发展的政策建议。县卫生健康局负责开展人口监测预警工作，负责完善全县生育政策，研究提出与生育相关的人口数量、素质、结构、分布方面的政策建议，促进生育政策和相关经济社会政策配套衔接，参与拟定人口发展规划和政策，落实全县人口发展规划中的有关任务。</w:t>
      </w:r>
    </w:p>
    <w:p>
      <w:pPr>
        <w:spacing w:line="600" w:lineRule="exact"/>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二）与县级储备粮承储企业的职责分工。县级储备粮承储企业落实县级储备粮计划，执行各项管理制度，对承储的县级储备粮数量、质量和储存安全负主体责任。县发展和改革局负责对企业承储的县级储备粮管理情况实施监督检查。</w:t>
      </w:r>
    </w:p>
    <w:p>
      <w:pPr>
        <w:spacing w:line="600" w:lineRule="exact"/>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（三）与县政府其他有关部门的职责分工。县政府其他有关部门依照有关法律、行政法规的规定，在各自职责范围内负责管道保护的相关工作。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 xml:space="preserve">第七条  </w:t>
      </w:r>
      <w:r>
        <w:rPr>
          <w:rFonts w:ascii="Times New Roman" w:hAnsi="Times New Roman" w:eastAsia="仿宋_GB2312" w:cs="Times New Roman"/>
          <w:color w:val="000000"/>
          <w:sz w:val="32"/>
          <w:szCs w:val="32"/>
        </w:rPr>
        <w:t>大厂回族自治县发展和改革局设下列内设机构：</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24"/>
        </w:rPr>
      </w:pPr>
      <w:r>
        <w:rPr>
          <w:rFonts w:ascii="楷体" w:hAnsi="楷体" w:eastAsia="楷体" w:cs="楷体"/>
          <w:b/>
          <w:sz w:val="32"/>
          <w:szCs w:val="32"/>
        </w:rPr>
        <w:t>（一）办公室。</w:t>
      </w:r>
      <w:r>
        <w:rPr>
          <w:rFonts w:ascii="Times New Roman" w:hAnsi="Times New Roman" w:eastAsia="仿宋_GB2312" w:cs="Times New Roman"/>
          <w:color w:val="000000"/>
          <w:sz w:val="32"/>
          <w:szCs w:val="32"/>
        </w:rPr>
        <w:t>负责文电运转、会议组织、机要保密、政务督办、档案管理、电子政务、安全保卫、新闻宣传等机关行政事务。负责机关公务用车管理。组织开展舆论引导和舆情监测等工作。承担建议提案的组织协调、政府信息、政务公开。</w:t>
      </w:r>
    </w:p>
    <w:p>
      <w:pPr>
        <w:spacing w:line="600" w:lineRule="exact"/>
        <w:ind w:firstLine="643" w:firstLineChars="200"/>
        <w:rPr>
          <w:rFonts w:ascii="Times New Roman" w:hAnsi="Times New Roman" w:eastAsia="仿宋_GB2312" w:cs="Times New Roman"/>
          <w:color w:val="000000"/>
          <w:sz w:val="32"/>
          <w:szCs w:val="32"/>
        </w:rPr>
      </w:pPr>
      <w:r>
        <w:rPr>
          <w:rFonts w:ascii="楷体" w:hAnsi="楷体" w:eastAsia="楷体" w:cs="楷体"/>
          <w:b/>
          <w:sz w:val="32"/>
          <w:szCs w:val="32"/>
        </w:rPr>
        <w:t>（二）人事教育股。</w:t>
      </w:r>
      <w:r>
        <w:rPr>
          <w:rFonts w:ascii="Times New Roman" w:hAnsi="Times New Roman" w:eastAsia="仿宋_GB2312" w:cs="Times New Roman"/>
          <w:color w:val="000000"/>
          <w:sz w:val="32"/>
          <w:szCs w:val="32"/>
        </w:rPr>
        <w:t>负责局机关和所属事业单位的干部人事管理、机构编制、教育培训、劳动工资和绩效管理等工作。负责离退休干部工作。负责科技管理干部培训工作，协同有关部门选派科技副职。拟订全县科技人才队伍建设的政策措施并组织实施，承担相关科技人才计划组织、实施工作。承担县管优秀专家、享受政府特殊津贴和有突出贡献优秀中青年专家及科技人才的推荐工作。</w:t>
      </w:r>
    </w:p>
    <w:p>
      <w:pPr>
        <w:spacing w:line="600" w:lineRule="exact"/>
        <w:ind w:firstLine="643" w:firstLineChars="200"/>
        <w:rPr>
          <w:rFonts w:ascii="Times New Roman" w:hAnsi="Times New Roman" w:eastAsia="仿宋_GB2312" w:cs="Times New Roman"/>
          <w:color w:val="000000"/>
          <w:sz w:val="32"/>
          <w:szCs w:val="32"/>
        </w:rPr>
      </w:pPr>
      <w:r>
        <w:rPr>
          <w:rFonts w:ascii="楷体" w:hAnsi="楷体" w:eastAsia="楷体" w:cs="楷体"/>
          <w:b/>
          <w:sz w:val="32"/>
          <w:szCs w:val="32"/>
        </w:rPr>
        <w:t>（三）计划财务股。</w:t>
      </w:r>
      <w:r>
        <w:rPr>
          <w:rFonts w:ascii="Times New Roman" w:hAnsi="Times New Roman" w:eastAsia="仿宋_GB2312" w:cs="Times New Roman"/>
          <w:color w:val="000000"/>
          <w:sz w:val="32"/>
          <w:szCs w:val="32"/>
        </w:rPr>
        <w:t>负责机关财务和国有资产管理，组织内部审计，指导管理所属单位财务工作。拟订有关财务管理、资产管理、审计监督等制度、办法并组织实施。编制部门预决算。负责所属单位国有资产监督管理。</w:t>
      </w:r>
    </w:p>
    <w:p>
      <w:pPr>
        <w:spacing w:line="600" w:lineRule="exact"/>
        <w:ind w:firstLine="643" w:firstLineChars="200"/>
        <w:rPr>
          <w:rFonts w:ascii="Times New Roman" w:hAnsi="Times New Roman" w:eastAsia="仿宋_GB2312" w:cs="Times New Roman"/>
          <w:color w:val="000000"/>
          <w:sz w:val="32"/>
          <w:szCs w:val="32"/>
        </w:rPr>
      </w:pPr>
      <w:r>
        <w:rPr>
          <w:rFonts w:ascii="楷体" w:hAnsi="楷体" w:eastAsia="楷体" w:cs="楷体"/>
          <w:b/>
          <w:sz w:val="32"/>
          <w:szCs w:val="32"/>
        </w:rPr>
        <w:t>（四）安全维稳办公室。</w:t>
      </w:r>
      <w:r>
        <w:rPr>
          <w:rFonts w:ascii="Times New Roman" w:hAnsi="Times New Roman" w:eastAsia="仿宋_GB2312" w:cs="Times New Roman"/>
          <w:color w:val="000000"/>
          <w:sz w:val="32"/>
          <w:szCs w:val="32"/>
        </w:rPr>
        <w:t>负责信访维稳相关工作。负责对发改系统有关行业、领域的安全生产工作实施监督管理。制定、修订发改系统职责范围内有关行业安全生产管理制度并负责监督落实。及时传达、贯彻、执行上级工作部署，确保省、市、县各项工作部署传达到位。依法组织开展安全生产检查和安全生产管理教育工作。组织制定安全生产应急预案并组织实施。指导全县工业加强安全生产管理，指导工业安全生产标准体系建设和科技成果推广。参与重大特大安全生产事故的调查、处理。负责工业安全生产宣传教育工作。负责拟订民爆行业生产流通的发展规划。负责民爆行业生产流通的监督管理和安全生产工作。承担履行禁止化学武器公约事务日常工作。</w:t>
      </w:r>
    </w:p>
    <w:p>
      <w:pPr>
        <w:adjustRightInd w:val="0"/>
        <w:snapToGrid w:val="0"/>
        <w:spacing w:line="600" w:lineRule="exact"/>
        <w:ind w:firstLine="643" w:firstLineChars="200"/>
        <w:textAlignment w:val="baseline"/>
        <w:rPr>
          <w:rFonts w:ascii="Times New Roman" w:hAnsi="Times New Roman" w:eastAsia="楷体_GB2312" w:cs="Times New Roman"/>
          <w:b/>
          <w:color w:val="000000"/>
          <w:sz w:val="32"/>
          <w:szCs w:val="24"/>
        </w:rPr>
      </w:pPr>
      <w:r>
        <w:rPr>
          <w:rFonts w:ascii="楷体" w:hAnsi="楷体" w:eastAsia="楷体" w:cs="楷体"/>
          <w:b/>
          <w:sz w:val="32"/>
          <w:szCs w:val="32"/>
        </w:rPr>
        <w:t>（五）国民经济综合股（国民经济动员办公室）。</w:t>
      </w:r>
      <w:r>
        <w:rPr>
          <w:rFonts w:ascii="Times New Roman" w:hAnsi="Times New Roman" w:eastAsia="仿宋_GB2312" w:cs="Times New Roman"/>
          <w:color w:val="000000"/>
          <w:sz w:val="32"/>
          <w:szCs w:val="32"/>
        </w:rPr>
        <w:t>起草重要文件。组织开展经济社会发展、改革开放的重大问题研究。组织拟订国民经济和社会发展年度计划，做好年度计划与五年发展规划的统筹衔接。监测分析全县经济形势和国内外经济发展变化，对宏观经济和社会发展进行预测。研究总量平衡，提出宏观调控目标和政策取向及调控建议，开展重大政策预研和预评估。提出建设现代化经济体系和推动高质量发展的政策建议。提出经济安全、资源安全相关政策建议。</w:t>
      </w:r>
    </w:p>
    <w:p>
      <w:pPr>
        <w:adjustRightInd w:val="0"/>
        <w:snapToGrid w:val="0"/>
        <w:spacing w:line="600" w:lineRule="exact"/>
        <w:ind w:firstLine="643" w:firstLineChars="200"/>
        <w:textAlignment w:val="baseline"/>
        <w:rPr>
          <w:rFonts w:ascii="Times New Roman" w:hAnsi="Times New Roman" w:eastAsia="楷体_GB2312" w:cs="Times New Roman"/>
          <w:b/>
          <w:color w:val="000000"/>
          <w:sz w:val="32"/>
          <w:szCs w:val="24"/>
        </w:rPr>
      </w:pPr>
      <w:r>
        <w:rPr>
          <w:rFonts w:ascii="楷体" w:hAnsi="楷体" w:eastAsia="楷体" w:cs="楷体"/>
          <w:b/>
          <w:sz w:val="32"/>
          <w:szCs w:val="32"/>
        </w:rPr>
        <w:t>（六）农村经济和科技发展股。</w:t>
      </w:r>
      <w:r>
        <w:rPr>
          <w:rFonts w:ascii="Times New Roman" w:hAnsi="Times New Roman" w:eastAsia="仿宋_GB2312" w:cs="Times New Roman"/>
          <w:color w:val="000000"/>
          <w:sz w:val="32"/>
          <w:szCs w:val="32"/>
        </w:rPr>
        <w:t>研究全县农村经济发展和改革重大问题，监测分析农村经济发展形势，提出农村经济发展战略和政策建议。组织编制农村经济发展、生态保护和建设中长期规划和年度计划，衔接平衡农业、林业、水利、气象、生态及有关农村基础设施等发展规划、计划和政策。牵头组织特重大自然灾害的灾后恢复重建规划编制，协调有关重大问题。提出建立健全生态补偿机制的政策措施。负责林业、水利、气象、农业科技、生态建设等方面相关建设项目的管理。提出县财政性建设资金相关项目及投资计划安排意见和国家资金重大项目布局建议，并协调实施。提出生态安全相关政策建议。指导农村科技进步和农业科技园区工作，推动科技扶贫工作和农村科技社会化服务体系建设。</w:t>
      </w:r>
      <w:r>
        <w:rPr>
          <w:rFonts w:ascii="Times New Roman" w:hAnsi="Times New Roman" w:eastAsia="仿宋_GB2312" w:cs="Times New Roman"/>
          <w:bCs/>
          <w:color w:val="000000"/>
          <w:sz w:val="32"/>
          <w:szCs w:val="32"/>
        </w:rPr>
        <w:t>促进生物技术发展及产业化，推动绿色技术创新，协调科技应对气候变化工作。</w:t>
      </w:r>
      <w:r>
        <w:rPr>
          <w:rFonts w:ascii="Times New Roman" w:hAnsi="Times New Roman" w:eastAsia="仿宋_GB2312" w:cs="Times New Roman"/>
          <w:color w:val="000000"/>
          <w:sz w:val="32"/>
          <w:szCs w:val="32"/>
        </w:rPr>
        <w:t>推动农业重大关键技术攻关。</w:t>
      </w:r>
    </w:p>
    <w:p>
      <w:pPr>
        <w:adjustRightInd w:val="0"/>
        <w:snapToGrid w:val="0"/>
        <w:spacing w:line="600" w:lineRule="exact"/>
        <w:ind w:firstLine="643" w:firstLineChars="200"/>
        <w:textAlignment w:val="baseline"/>
        <w:rPr>
          <w:rFonts w:ascii="Times New Roman" w:hAnsi="Times New Roman" w:eastAsia="仿宋_GB2312" w:cs="Times New Roman"/>
          <w:color w:val="000000"/>
          <w:spacing w:val="-6"/>
          <w:sz w:val="32"/>
          <w:szCs w:val="32"/>
        </w:rPr>
      </w:pPr>
      <w:r>
        <w:rPr>
          <w:rFonts w:ascii="楷体" w:hAnsi="楷体" w:eastAsia="楷体" w:cs="楷体"/>
          <w:b/>
          <w:sz w:val="32"/>
          <w:szCs w:val="32"/>
        </w:rPr>
        <w:t>（七）发展战略和规划股。</w:t>
      </w:r>
      <w:r>
        <w:rPr>
          <w:rFonts w:ascii="Times New Roman" w:hAnsi="Times New Roman" w:eastAsia="仿宋_GB2312" w:cs="Times New Roman"/>
          <w:color w:val="000000"/>
          <w:sz w:val="32"/>
          <w:szCs w:val="32"/>
        </w:rPr>
        <w:t>研究提出全县重大发展战略、经济结构调整政策和产业布局建议，组织拟订并实施县域发展规划。承担统一规划体系建设工作，统筹衔接县级专项规划、区域规划、空间规划与上下级发展规划，统筹规划目录清单、审批计划和备案管理。协调推进省级特色小镇创建培育工作。提出新型城镇化战略、规划和城乡融合发展政策建议。</w:t>
      </w:r>
      <w:r>
        <w:rPr>
          <w:rFonts w:ascii="Times New Roman" w:hAnsi="Times New Roman" w:eastAsia="仿宋_GB2312" w:cs="Times New Roman"/>
          <w:sz w:val="32"/>
          <w:szCs w:val="32"/>
        </w:rPr>
        <w:t>指导推进和综合协调经济体制改革工作，指导综合改革试点和改革试验区工作。</w:t>
      </w:r>
      <w:r>
        <w:rPr>
          <w:rFonts w:ascii="Times New Roman" w:hAnsi="Times New Roman" w:eastAsia="仿宋_GB2312" w:cs="Times New Roman"/>
          <w:color w:val="000000"/>
          <w:sz w:val="32"/>
          <w:szCs w:val="24"/>
        </w:rPr>
        <w:t>推进落实国家、省、市推进京津冀协同发展的有关政策。研究提出全县京津冀协同发展的政策建议。组织争取国家、省、市相关政策、资金和项目支持。建立与北京、天津及周边区域沟通对接机制。组织全县有关部门谋划、实施承接京津的重大项目、工程、事项。协调解决京津冀协同发展重大项目实施过程中的重大问题，促进重大项目落地。</w:t>
      </w:r>
      <w:r>
        <w:rPr>
          <w:rFonts w:ascii="Times New Roman" w:hAnsi="Times New Roman" w:eastAsia="仿宋_GB2312" w:cs="Times New Roman"/>
          <w:color w:val="000000"/>
          <w:kern w:val="0"/>
          <w:sz w:val="32"/>
          <w:szCs w:val="32"/>
        </w:rPr>
        <w:t>统筹铁路及城市轨道交通发展战略规划，与其他运输方式发展战略规划，以及国民经济和社会发展规划计划的衔接平衡，研究提出相关政策和改革建议。落实国家铁路发展专项规划和城际轨道交通规划，审核铁路、城市轨道交通重大项目。提出县级财政安排铁路投资意见，拟订铁路投资筹资方案。统筹推进铁路及城市轨道交通建设。</w:t>
      </w:r>
      <w:r>
        <w:rPr>
          <w:rFonts w:ascii="Times New Roman" w:hAnsi="Times New Roman" w:eastAsia="仿宋_GB2312" w:cs="Times New Roman"/>
          <w:color w:val="000000"/>
          <w:sz w:val="32"/>
          <w:szCs w:val="24"/>
        </w:rPr>
        <w:t>协调建立京津冀国家生态文明示范区沟通对接及联席会议机制。制定全县生态文明先行示范区建设工作方案及年度工作计划。对重点项目、工程进行督导调度，协调解决实施过程中的重大问题。</w:t>
      </w:r>
    </w:p>
    <w:p>
      <w:pPr>
        <w:adjustRightInd w:val="0"/>
        <w:snapToGrid w:val="0"/>
        <w:spacing w:line="600" w:lineRule="exact"/>
        <w:ind w:firstLine="643" w:firstLineChars="200"/>
        <w:textAlignment w:val="baseline"/>
        <w:rPr>
          <w:rFonts w:ascii="Times New Roman" w:hAnsi="Times New Roman" w:eastAsia="仿宋_GB2312" w:cs="Times New Roman"/>
          <w:sz w:val="32"/>
          <w:szCs w:val="32"/>
        </w:rPr>
      </w:pPr>
      <w:r>
        <w:rPr>
          <w:rFonts w:ascii="楷体" w:hAnsi="楷体" w:eastAsia="楷体" w:cs="楷体"/>
          <w:b/>
          <w:sz w:val="32"/>
          <w:szCs w:val="32"/>
        </w:rPr>
        <w:t>（八）项目建设办公室</w:t>
      </w:r>
      <w:r>
        <w:rPr>
          <w:rFonts w:ascii="Times New Roman" w:hAnsi="Times New Roman" w:eastAsia="楷体_GB2312" w:cs="Times New Roman"/>
          <w:b/>
          <w:color w:val="000000"/>
          <w:sz w:val="32"/>
          <w:szCs w:val="24"/>
        </w:rPr>
        <w:t>。</w:t>
      </w:r>
      <w:r>
        <w:rPr>
          <w:rFonts w:ascii="Times New Roman" w:hAnsi="Times New Roman" w:eastAsia="仿宋_GB2312" w:cs="Times New Roman"/>
          <w:sz w:val="32"/>
          <w:szCs w:val="32"/>
        </w:rPr>
        <w:t>负责全县项目综合管理</w:t>
      </w:r>
      <w:r>
        <w:rPr>
          <w:rFonts w:ascii="Times New Roman" w:hAnsi="Times New Roman" w:eastAsia="仿宋_GB2312" w:cs="Times New Roman"/>
          <w:sz w:val="32"/>
          <w:szCs w:val="24"/>
        </w:rPr>
        <w:t>。</w:t>
      </w:r>
      <w:r>
        <w:rPr>
          <w:rFonts w:ascii="Times New Roman" w:hAnsi="Times New Roman" w:eastAsia="仿宋_GB2312" w:cs="Times New Roman"/>
          <w:sz w:val="32"/>
          <w:szCs w:val="32"/>
        </w:rPr>
        <w:t>组织申报上级有关发展性专项资金项目、政策性项目，安排县级预算内基本建设资金和有关发展性专项资金、政策性项目</w:t>
      </w:r>
      <w:r>
        <w:rPr>
          <w:rFonts w:ascii="Times New Roman" w:hAnsi="Times New Roman" w:eastAsia="仿宋_GB2312" w:cs="Times New Roman"/>
          <w:sz w:val="32"/>
          <w:szCs w:val="24"/>
        </w:rPr>
        <w:t>。</w:t>
      </w:r>
      <w:r>
        <w:rPr>
          <w:rFonts w:ascii="Times New Roman" w:hAnsi="Times New Roman" w:eastAsia="仿宋_GB2312" w:cs="Times New Roman"/>
          <w:sz w:val="32"/>
          <w:szCs w:val="32"/>
        </w:rPr>
        <w:t>拟订并推动落实鼓励民间投资政策措施</w:t>
      </w:r>
      <w:r>
        <w:rPr>
          <w:rFonts w:ascii="Times New Roman" w:hAnsi="Times New Roman" w:eastAsia="仿宋_GB2312" w:cs="Times New Roman"/>
          <w:sz w:val="32"/>
          <w:szCs w:val="24"/>
        </w:rPr>
        <w:t>。</w:t>
      </w:r>
      <w:r>
        <w:rPr>
          <w:rFonts w:ascii="Times New Roman" w:hAnsi="Times New Roman" w:eastAsia="仿宋_GB2312" w:cs="Times New Roman"/>
          <w:sz w:val="32"/>
          <w:szCs w:val="32"/>
        </w:rPr>
        <w:t>组织谋划、实施事关全县经济和社会发展全局的重大项目</w:t>
      </w:r>
      <w:r>
        <w:rPr>
          <w:rFonts w:ascii="Times New Roman" w:hAnsi="Times New Roman" w:eastAsia="仿宋_GB2312" w:cs="Times New Roman"/>
          <w:sz w:val="32"/>
          <w:szCs w:val="24"/>
        </w:rPr>
        <w:t>。</w:t>
      </w:r>
      <w:r>
        <w:rPr>
          <w:rFonts w:ascii="Times New Roman" w:hAnsi="Times New Roman" w:eastAsia="仿宋_GB2312" w:cs="Times New Roman"/>
          <w:sz w:val="32"/>
          <w:szCs w:val="32"/>
        </w:rPr>
        <w:t>组织申报省、市重点建设项目</w:t>
      </w:r>
      <w:r>
        <w:rPr>
          <w:rFonts w:ascii="Times New Roman" w:hAnsi="Times New Roman" w:eastAsia="仿宋_GB2312" w:cs="Times New Roman"/>
          <w:sz w:val="32"/>
          <w:szCs w:val="24"/>
        </w:rPr>
        <w:t>。</w:t>
      </w:r>
      <w:r>
        <w:rPr>
          <w:rFonts w:ascii="Times New Roman" w:hAnsi="Times New Roman" w:eastAsia="仿宋_GB2312" w:cs="Times New Roman"/>
          <w:sz w:val="32"/>
          <w:szCs w:val="32"/>
        </w:rPr>
        <w:t>参与并协调、调度、督导重点建设项目前期工作</w:t>
      </w:r>
      <w:r>
        <w:rPr>
          <w:rFonts w:ascii="Times New Roman" w:hAnsi="Times New Roman" w:eastAsia="仿宋_GB2312" w:cs="Times New Roman"/>
          <w:sz w:val="32"/>
          <w:szCs w:val="24"/>
        </w:rPr>
        <w:t>。</w:t>
      </w:r>
      <w:r>
        <w:rPr>
          <w:rFonts w:ascii="Times New Roman" w:hAnsi="Times New Roman" w:eastAsia="仿宋_GB2312" w:cs="Times New Roman"/>
          <w:sz w:val="32"/>
          <w:szCs w:val="32"/>
        </w:rPr>
        <w:t>协调解决重点项目实施过程中的重大问题</w:t>
      </w:r>
      <w:r>
        <w:rPr>
          <w:rFonts w:ascii="Times New Roman" w:hAnsi="Times New Roman" w:eastAsia="仿宋_GB2312" w:cs="Times New Roman"/>
          <w:sz w:val="32"/>
          <w:szCs w:val="24"/>
        </w:rPr>
        <w:t>。</w:t>
      </w:r>
      <w:r>
        <w:rPr>
          <w:rFonts w:ascii="Times New Roman" w:hAnsi="Times New Roman" w:eastAsia="仿宋_GB2312" w:cs="Times New Roman"/>
          <w:sz w:val="32"/>
          <w:szCs w:val="32"/>
        </w:rPr>
        <w:t>承办县委、县政府交办的其它项目工作事项。承担政府投资项目评审委员会办公室职责。</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（九）能源环保股。</w:t>
      </w:r>
      <w:r>
        <w:rPr>
          <w:rFonts w:ascii="Times New Roman" w:hAnsi="Times New Roman" w:eastAsia="仿宋_GB2312" w:cs="Times New Roman"/>
          <w:color w:val="000000"/>
          <w:sz w:val="32"/>
          <w:szCs w:val="32"/>
        </w:rPr>
        <w:t>拟订能源发展规划、年度计划和政策。负责能源综合业务和体制改革有关事宜，协调能源发展改革中的重大问题。负责有关规范性文件合法性审核。参与研究能源消费总量控制目标建议，指导、监督能源消费总量控制有关工作。负责能源行业统计分析、预测预警、政务公开、新闻发布，组织协调日常政务。监管能源市场运行。研究提出调整能源价格建议。监督检查有关能源价格和各项辅助服务收费标准。研究提出能源普遍服务政策的建议并监督实施。监管油气管网设施的公平开放。规范能源市场秩序。承担相关行政复议、行政应诉。负责指导能源行业节能和资源综合利用。组织实施石油、天然气等能源，以及生物质液体燃料的产业政策和相关标准。承担煤炭体制改革有关工作。拟订相关发展规划、年度计划和政策并组织实施。统筹协调煤、电、油、气及交通运输保障工作并组织应对有关重大突发性事件，提出安排相关应急物资储备和动用的建议。负责监测电力运行态势，电力年度供需平衡、资源配置和电力需求侧管理，有序用电、迎峰度夏（冬）电力保障工作。负责电力行政执法工作。指导协调新能源、可再生能源和农村能源发展。组织实施相关技术规范和标准。组织拟订太阳能、生物质能等可再生能源和新能源发展规划、年度计划和政策并组织实施。拟订和组织实施绿色发展相关战略、规划和政策，推进实施可持续发展战略，承担生态文明建设和改革相关工作。拟订并协调实施能源资源节约和综合利用、循环经济政策规划，组织实施能源消费控制目标。协调环保产业和清洁生产促进有关工作。组织协调重大节能示范工程和新产品、新技术、新装备的推广应用。指导墙体新材料革新、散装水泥推广和节能监察工作。拟订并组织实施全县工业能源节约和资源综合利用促进政策，组织和指导工业节能装备（产品）制造、企业节能管理。组织协调相关重大示范工程和新产品、新设备、新材料的推广应用。研究制定工业“三废”资源的综合利用政策及项目推广。指导推进工业绿色发展和绿色制造工作。</w:t>
      </w:r>
    </w:p>
    <w:p>
      <w:pPr>
        <w:adjustRightInd w:val="0"/>
        <w:snapToGrid w:val="0"/>
        <w:spacing w:line="600" w:lineRule="exact"/>
        <w:ind w:firstLine="643" w:firstLineChars="200"/>
        <w:textAlignment w:val="baseline"/>
        <w:rPr>
          <w:rFonts w:ascii="Times New Roman" w:hAnsi="Times New Roman" w:eastAsia="楷体_GB2312" w:cs="Times New Roman"/>
          <w:b/>
          <w:color w:val="000000"/>
          <w:sz w:val="32"/>
          <w:szCs w:val="24"/>
        </w:rPr>
      </w:pPr>
      <w:r>
        <w:rPr>
          <w:rFonts w:ascii="楷体" w:hAnsi="楷体" w:eastAsia="楷体" w:cs="楷体"/>
          <w:b/>
          <w:sz w:val="32"/>
          <w:szCs w:val="32"/>
        </w:rPr>
        <w:t>（十）价格调控股。</w:t>
      </w:r>
      <w:r>
        <w:rPr>
          <w:rFonts w:ascii="Times New Roman" w:hAnsi="Times New Roman" w:eastAsia="仿宋_GB2312" w:cs="Times New Roman"/>
          <w:color w:val="000000"/>
          <w:sz w:val="32"/>
          <w:szCs w:val="32"/>
        </w:rPr>
        <w:t>拟订年度价格工作规划和综合性价格改革方案。研究提出年度价格总水平调控目标。监测分析研判全县价格形势和重要商品价格情况，提出价格调控政策建议。负责价格调控应急机制建设，依法实施临时价格干预和物价上涨联动机制等调控措施。研究拟订有关价格重要政策文件和规范性文件。组织实施省定价目录、价格听证目录和政府定价等行为规则，组织实施省授权县政府定价项目价格听证。按照相关规定，负责落实重要农产品价格政策，负责组织实施国家和省水资源价格的改革方案和政策措施。按照相关规定，研究提出省授权县政府定价的城市供水、水利工程供水、污水处理等价格政策，推进农业水价综合改革工作。负责全县政府定价能源价格管理工作。组织实施国家和省有关能源价格改革方案和政策措施。依据授权拟订权限范围内天然气、热力等能源价格改革方案和政策措施。研究拟订有利于能源节约、产业结构调整和环境保护的价格调节政策。</w:t>
      </w:r>
    </w:p>
    <w:p>
      <w:pPr>
        <w:adjustRightInd w:val="0"/>
        <w:snapToGrid w:val="0"/>
        <w:spacing w:line="600" w:lineRule="exact"/>
        <w:ind w:firstLine="643" w:firstLineChars="200"/>
        <w:textAlignment w:val="baseline"/>
        <w:rPr>
          <w:rFonts w:ascii="Times New Roman" w:hAnsi="Times New Roman" w:eastAsia="楷体_GB2312" w:cs="Times New Roman"/>
          <w:b/>
          <w:color w:val="000000"/>
          <w:sz w:val="32"/>
          <w:szCs w:val="24"/>
        </w:rPr>
      </w:pPr>
      <w:r>
        <w:rPr>
          <w:rFonts w:ascii="楷体" w:hAnsi="楷体" w:eastAsia="楷体" w:cs="楷体"/>
          <w:b/>
          <w:sz w:val="32"/>
          <w:szCs w:val="32"/>
        </w:rPr>
        <w:t>（十一）价格成本监审调查股</w:t>
      </w:r>
      <w:r>
        <w:rPr>
          <w:rFonts w:ascii="Times New Roman" w:hAnsi="Times New Roman" w:eastAsia="楷体_GB2312" w:cs="Times New Roman"/>
          <w:b/>
          <w:color w:val="000000"/>
          <w:sz w:val="32"/>
          <w:szCs w:val="24"/>
        </w:rPr>
        <w:t>。</w:t>
      </w:r>
      <w:r>
        <w:rPr>
          <w:rFonts w:ascii="Times New Roman" w:hAnsi="Times New Roman" w:eastAsia="仿宋_GB2312" w:cs="Times New Roman"/>
          <w:color w:val="000000"/>
          <w:sz w:val="32"/>
          <w:szCs w:val="32"/>
        </w:rPr>
        <w:t>负责权限内政府定价的商品和服务价格的成本监审工作，完成政府委托的价格评估认定任务。完成农产品以及重要商品成本调查工作。</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（十二）粮食和物资储备股。</w:t>
      </w:r>
      <w:r>
        <w:rPr>
          <w:rFonts w:ascii="Times New Roman" w:hAnsi="Times New Roman" w:eastAsia="仿宋_GB2312" w:cs="Times New Roman"/>
          <w:color w:val="000000"/>
          <w:sz w:val="32"/>
          <w:szCs w:val="32"/>
        </w:rPr>
        <w:t>落实粮食和物资储备政策、规章制度。研究提出全县粮食和物资储备体系建设的建议。负责实施县级粮食和物资储备的收储、轮换和日常管理，拟订县级粮食和物资储备的仓储管理规范和制度等相关文件并组织实施。组织实施国家粮食流通有关标准和有关技术规范并监督执行。承担基础设施建设、仓储和科技统计工作。负责粮食和物资流通基础设施建设规划及项目管理。落实国家和省粮食购销政策。指导政策性粮食供应。负责监测县内粮食供求变化并预测预警，承担粮食应急有关工作。牵头负责行业统计，具体负责粮食流通统计和粮食产业经济统计。指导粮食流通的科技创新、技术改造。承担全县物资储备统计工作。负责贯彻执行军粮供应政策，安排军粮供应计划，协调粮油货源，落实财务结算，完成军粮供应任务，负责全县军粮信息网络系统的使用、管理。</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（十三）涉外经贸管理股。</w:t>
      </w:r>
      <w:r>
        <w:rPr>
          <w:rFonts w:ascii="Times New Roman" w:hAnsi="Times New Roman" w:eastAsia="仿宋_GB2312" w:cs="Times New Roman"/>
          <w:color w:val="000000"/>
          <w:sz w:val="32"/>
          <w:szCs w:val="32"/>
        </w:rPr>
        <w:t xml:space="preserve">指导、协调全县货物进出口工作，拟订全县进出口商品中长期规划和外贸增长方式转变的政策措施。制定并组织实施全县进出口年度任务目标，监测分析全县进出口贸易运行状况。执行国家制定的进出口商品管理办法和目录，组织实施重要工业品、原材料和农产品进出口。执行国家加工贸易管理政策及有关目录。开展贸易促进活动和外贸促进体系建设。贯彻执行国家和省、市服务贸易政策和促进服务业出口规划、政策，牵头拟订全县服务贸易发展规划并组织实施。制定实施全县促进服务外包发展的政策措施。负责会展业促进与管理工作，组织参与境内外经济技术展会。负责贯彻执行国家和省、市利用外资法律法规规章和外商投资产业政策，拟订全县外商投资政策并组织实施。指导全县外商投资企业备案工作。指导并管理全县外商投资企业进出口有关工作。依法监督检查外商投资企业执行法律法规规章和合同章程的情况并协调解决有关问题。牵头组织实施全县外商投资企业联合年报工作。负责全县利用外资统计工作。贯彻执行国家和省、市对外投资合作相关政策，拟订并组织实施全县对外经济合作发展规划和政策措施。依法管理、监督全县对外投资、对外承包工程、对外劳务合作等业务。开展全县对外投资和经济合作促进工作，组织全县对外经济合作相关培训。负责全县对外投资和经济合作统计工作。配合上级商务部门对我县出口商品歧视性贸易政策等行为调查工作。承担对外经济交流与合作、技术引进有关事宜的综合协调工作。指导和推动工业企业、民营企业开展国际化经营和海外投资，按规定协调解决外商投资工业企业运行过程中的有关问题。组织企业参加各类展洽会。 </w:t>
      </w:r>
    </w:p>
    <w:p>
      <w:pPr>
        <w:adjustRightInd w:val="0"/>
        <w:snapToGrid w:val="0"/>
        <w:spacing w:line="600" w:lineRule="exact"/>
        <w:ind w:firstLine="643" w:firstLineChars="200"/>
        <w:textAlignment w:val="baseline"/>
        <w:rPr>
          <w:rFonts w:ascii="Times New Roman" w:hAnsi="Times New Roman" w:eastAsia="仿宋_GB2312" w:cs="Times New Roman"/>
          <w:b/>
          <w:color w:val="000000"/>
          <w:sz w:val="32"/>
          <w:szCs w:val="32"/>
        </w:rPr>
      </w:pPr>
      <w:r>
        <w:rPr>
          <w:rFonts w:ascii="楷体" w:hAnsi="楷体" w:eastAsia="楷体" w:cs="楷体"/>
          <w:b/>
          <w:sz w:val="32"/>
          <w:szCs w:val="32"/>
        </w:rPr>
        <w:t>（十四）内贸服务业运行股。</w:t>
      </w:r>
      <w:r>
        <w:rPr>
          <w:rFonts w:ascii="Times New Roman" w:hAnsi="Times New Roman" w:eastAsia="仿宋_GB2312" w:cs="Times New Roman"/>
          <w:color w:val="000000"/>
          <w:sz w:val="32"/>
          <w:szCs w:val="32"/>
        </w:rPr>
        <w:t>研究拟订全县健全、规范市场体系的政策，推进商品市场标准化。指导大宗产品批发市场建设和城市商业网点规划、商业体系建设，指导社区商业发展，推进农村市场体系建设和改造提升。加强农产品市场、冷链物流等基础设施建设，促进产销衔接和农超对接工作。按有关规定对汽车流通行业进行监督管理。负责提出促进流通业发展的有关政策，完善国内贸易市场组织体系。推动连锁经营、商业特许经营等流通方式发展，促进流通标准化和现代流通技术进步。推进商贸物流体系建设，构建中小微流通企业公共服务体系。推进再生资源回收和商贸企业节能减排等绿色流通工作，对拍卖、旧货流通、免税商店等特殊流通行业进行监督管理。承担全县商务服务业（含餐饮业、住宿业等生活服务业）行业的管理工作。负责内贸流通行业统计工作。牵头推进商务领域诚信体系建设，建立商务诚信公共服务平台，建立健全信用激励约束机制，促进商业信用销售和信用服务业发展。规范商贸企业交易行为，负责单用途商业预付卡管理工作。牵头规范零售企业促销行为，推动零售商供应商公平交易。牵头推动全县重要产品追溯体系建设。负责药品流通行业相关管理工作。负责商贸领域行政执法工作。监测、分析县内生活必需品市场运行和商品供求状况，调查分析商品价格信息，负责市场预测、预警和信息引导并提出市场运行及调控政策建议。承担重要消费品储备（肉类、小包装食品等）管理和市场调控的有关工作。统筹消费促进工作。负责全县生活必需品突发事件的应对工作。按有关规定开展成品油市场监督管理工作。按有关规定拟订酒类流通规划和政策，负责酒类流通发展和促进工作。贯彻执行国家运用电子商务开拓国内外市场的相关政策、措施及商务领域电子商务相关标准和规则。拟订全县电子商务发展的相关政策、规则、措施并组织实施，推动电子商务现代流通方式发展。建立完善商务信息公共服务体系，实施商务信息公共服务体系建设。</w:t>
      </w:r>
      <w:r>
        <w:rPr>
          <w:rFonts w:ascii="Times New Roman" w:hAnsi="Times New Roman" w:eastAsia="仿宋_GB2312" w:cs="Times New Roman"/>
          <w:b/>
          <w:color w:val="000000"/>
          <w:sz w:val="32"/>
          <w:szCs w:val="32"/>
        </w:rPr>
        <w:t xml:space="preserve"> </w:t>
      </w:r>
    </w:p>
    <w:p>
      <w:pPr>
        <w:adjustRightInd w:val="0"/>
        <w:snapToGrid w:val="0"/>
        <w:spacing w:line="600" w:lineRule="exact"/>
        <w:ind w:firstLine="643" w:firstLineChars="200"/>
        <w:textAlignment w:val="baseline"/>
        <w:rPr>
          <w:rFonts w:ascii="Times New Roman" w:hAnsi="Times New Roman" w:eastAsia="楷体_GB2312" w:cs="Times New Roman"/>
          <w:b/>
          <w:color w:val="000000"/>
          <w:sz w:val="32"/>
          <w:szCs w:val="24"/>
        </w:rPr>
      </w:pPr>
      <w:r>
        <w:rPr>
          <w:rFonts w:ascii="楷体" w:hAnsi="楷体" w:eastAsia="楷体" w:cs="楷体"/>
          <w:b/>
          <w:sz w:val="32"/>
          <w:szCs w:val="32"/>
        </w:rPr>
        <w:t>（十五）民营经济发展股。</w:t>
      </w:r>
      <w:r>
        <w:rPr>
          <w:rFonts w:ascii="Times New Roman" w:hAnsi="Times New Roman" w:eastAsia="仿宋_GB2312" w:cs="Times New Roman"/>
          <w:color w:val="000000"/>
          <w:sz w:val="32"/>
          <w:szCs w:val="32"/>
        </w:rPr>
        <w:t>负责全县民营经济的宏观指导、综合协调和考核工作。会同有关部门拟订促进民营经济的发展规划并组织实施，协调解决相关问题，推动中小企业聚集发展。提出中小企业发展专项资金年度使用计划建议，指导县中小企业发展基金管理工作。承担县民营经济领导小组办公室的日常工作。负责指导中小企业促进工作，推进中小企业公共服务体系建设，鼓励和支持各类服务机构为中小企业提供管理咨询、人才培训、技术支持、投资融资、法律咨询等各类服务。指导中小企业人才队伍建设，有计划组织实施中小企业管理人员培训。支持中小企业创业创新，推进中小企业“专精特新”发展。提出中小微企业融资建议，拓宽中小微企业融资渠道。</w:t>
      </w:r>
    </w:p>
    <w:p>
      <w:pPr>
        <w:adjustRightInd w:val="0"/>
        <w:snapToGrid w:val="0"/>
        <w:spacing w:line="600" w:lineRule="exact"/>
        <w:ind w:firstLine="643" w:firstLineChars="200"/>
        <w:textAlignment w:val="baseline"/>
        <w:rPr>
          <w:rFonts w:ascii="Times New Roman" w:hAnsi="Times New Roman" w:eastAsia="仿宋_GB2312" w:cs="Times New Roman"/>
          <w:bCs/>
          <w:color w:val="000000"/>
          <w:sz w:val="32"/>
          <w:szCs w:val="32"/>
        </w:rPr>
      </w:pPr>
      <w:r>
        <w:rPr>
          <w:rFonts w:ascii="楷体" w:hAnsi="楷体" w:eastAsia="楷体" w:cs="楷体"/>
          <w:b/>
          <w:sz w:val="32"/>
          <w:szCs w:val="32"/>
        </w:rPr>
        <w:t>（十六）科技创新发展股。科技项目申报组织工作。</w:t>
      </w:r>
      <w:r>
        <w:rPr>
          <w:rFonts w:ascii="Times New Roman" w:hAnsi="Times New Roman" w:eastAsia="仿宋_GB2312" w:cs="Times New Roman"/>
          <w:color w:val="000000"/>
          <w:sz w:val="32"/>
          <w:szCs w:val="32"/>
        </w:rPr>
        <w:t>负责组织申报国家、省级重点实验室、技术创新中心、市级企业技术研发中心等重大科技创新平台。组织推动科研基础性工作，推进重大科研基础设施、大型科研仪器、科学数据、生物资源等科技资源开放共享。负责国家、省、市科技项目的申报组织工作，并做好项目的监管及验收准备工作。负责国际合作项目的申报组织工作。加强对外科技合作与交流工作。承担县科技计划（专项、基金等）协调管理工作。提出年度科技计划的总体设计、专项布局和经费预算建议。落实国家、省、市科技计划项目资金。拟订全县促进科技与金融结合的政策措施并组织实施。统筹开展对重大科技规划和科技政策落实、项目和经费管理、平台基地建设、科技奖励评审等监督检查。</w:t>
      </w:r>
      <w:r>
        <w:rPr>
          <w:rFonts w:ascii="Times New Roman" w:hAnsi="Times New Roman" w:eastAsia="仿宋_GB2312" w:cs="Times New Roman"/>
          <w:b/>
          <w:bCs/>
          <w:color w:val="000000"/>
          <w:sz w:val="32"/>
          <w:szCs w:val="32"/>
        </w:rPr>
        <w:t>成果转化与区域创新工作</w:t>
      </w:r>
      <w:r>
        <w:rPr>
          <w:rFonts w:ascii="Times New Roman" w:hAnsi="Times New Roman" w:eastAsia="仿宋_GB2312" w:cs="Times New Roman"/>
          <w:color w:val="000000"/>
          <w:sz w:val="32"/>
          <w:szCs w:val="32"/>
        </w:rPr>
        <w:t>。促进科技成果转移转化、科技成果管理，促进产学研深度融合。承担技术转移体系、区域科技创新体系建设工作。指导县域创新驱动发展工作，负责推进创新型县城建设相关工作。承接科技成果转移转化示范区建设，负责重点目标任务的督导落实。推进企业与京津冀科研院所、大专院校的合作。</w:t>
      </w:r>
      <w:r>
        <w:rPr>
          <w:rFonts w:ascii="Times New Roman" w:hAnsi="Times New Roman" w:eastAsia="仿宋_GB2312" w:cs="Times New Roman"/>
          <w:b/>
          <w:bCs/>
          <w:color w:val="000000"/>
          <w:sz w:val="32"/>
          <w:szCs w:val="32"/>
        </w:rPr>
        <w:t>统筹推进科技进步工作。</w:t>
      </w:r>
      <w:r>
        <w:rPr>
          <w:rFonts w:ascii="Times New Roman" w:hAnsi="Times New Roman" w:eastAsia="仿宋_GB2312" w:cs="Times New Roman"/>
          <w:color w:val="000000"/>
          <w:sz w:val="32"/>
          <w:szCs w:val="32"/>
        </w:rPr>
        <w:t>做好科普、软科学工作。负责省院士工作站的遴选推荐工作。技术合同登记。自筹资金项目的申报组织工作。</w:t>
      </w:r>
      <w:r>
        <w:rPr>
          <w:rFonts w:ascii="Times New Roman" w:hAnsi="Times New Roman" w:eastAsia="仿宋_GB2312" w:cs="Times New Roman"/>
          <w:b/>
          <w:bCs/>
          <w:color w:val="000000"/>
          <w:sz w:val="32"/>
          <w:szCs w:val="32"/>
        </w:rPr>
        <w:t>高新技术发展工作。</w:t>
      </w:r>
      <w:r>
        <w:rPr>
          <w:rFonts w:ascii="Times New Roman" w:hAnsi="Times New Roman" w:eastAsia="仿宋_GB2312" w:cs="Times New Roman"/>
          <w:color w:val="000000"/>
          <w:sz w:val="32"/>
          <w:szCs w:val="32"/>
        </w:rPr>
        <w:t>负责高新技术企业认定，指导高新技术产业开发区建设。推动高新技术产业化相关技术服务体系建设、科技服务和科技中介组织发展。</w:t>
      </w:r>
      <w:r>
        <w:rPr>
          <w:rFonts w:ascii="Times New Roman" w:hAnsi="Times New Roman" w:eastAsia="仿宋_GB2312" w:cs="Times New Roman"/>
          <w:bCs/>
          <w:color w:val="000000"/>
          <w:sz w:val="32"/>
          <w:szCs w:val="32"/>
        </w:rPr>
        <w:t>推动科技型中小企业发展。负责孵化器、众创空间的申报组织工作。</w:t>
      </w:r>
      <w:r>
        <w:rPr>
          <w:rFonts w:ascii="Times New Roman" w:hAnsi="Times New Roman" w:eastAsia="仿宋_GB2312" w:cs="Times New Roman"/>
          <w:color w:val="000000"/>
          <w:sz w:val="32"/>
          <w:szCs w:val="32"/>
        </w:rPr>
        <w:t>推动重大关键技术攻关。</w:t>
      </w:r>
      <w:r>
        <w:rPr>
          <w:rFonts w:ascii="Times New Roman" w:hAnsi="Times New Roman" w:eastAsia="仿宋_GB2312" w:cs="Times New Roman"/>
          <w:b/>
          <w:color w:val="000000"/>
          <w:sz w:val="32"/>
          <w:szCs w:val="32"/>
        </w:rPr>
        <w:t>拟订引进国外智力规划、政策并组织实施。</w:t>
      </w:r>
      <w:r>
        <w:rPr>
          <w:rFonts w:ascii="Times New Roman" w:hAnsi="Times New Roman" w:eastAsia="仿宋_GB2312" w:cs="Times New Roman"/>
          <w:bCs/>
          <w:color w:val="000000"/>
          <w:sz w:val="32"/>
          <w:szCs w:val="32"/>
        </w:rPr>
        <w:t>负责组织实施引进国外智力重大活动及项目。组织在国（境）外和县内开展国际人才交流活动。</w:t>
      </w:r>
      <w:r>
        <w:rPr>
          <w:rFonts w:ascii="Times New Roman" w:hAnsi="Times New Roman" w:eastAsia="仿宋_GB2312" w:cs="Times New Roman"/>
          <w:color w:val="000000"/>
          <w:sz w:val="32"/>
          <w:szCs w:val="32"/>
        </w:rPr>
        <w:t>承办全</w:t>
      </w:r>
      <w:r>
        <w:rPr>
          <w:rFonts w:ascii="Times New Roman" w:hAnsi="Times New Roman" w:eastAsia="仿宋_GB2312" w:cs="Times New Roman"/>
          <w:bCs/>
          <w:color w:val="000000"/>
          <w:sz w:val="32"/>
          <w:szCs w:val="32"/>
        </w:rPr>
        <w:t>县出国（境）培训相关工作，拟订出国（境）培训规划、政策和年度计划并监督实施。负责与外国官方机构及其他组织建立人才交流与合作关系，指导引智工作站和各类引智服务机构的建设。负责全县各类引智引才成果示范单位和基地的建设与评估管理工作。按照有关分类规定，管理、审核、发放外国人来华工作许可证。承担重点外国专家服务工作。承担“燕赵友谊奖”、“外专百人计划”等各类人才表彰选拔的组织申报工作。</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（十七）信息产业股。</w:t>
      </w:r>
      <w:r>
        <w:rPr>
          <w:rFonts w:ascii="Times New Roman" w:hAnsi="Times New Roman" w:eastAsia="仿宋_GB2312" w:cs="Times New Roman"/>
          <w:color w:val="000000"/>
          <w:sz w:val="32"/>
          <w:szCs w:val="32"/>
        </w:rPr>
        <w:t>承担电子信息产品制造行业管理工作。指导软件业发展。研究拟订电子信息产品制造业、软件和信息服务业发展战略、规划和重点专项规划。编制行业投资指南，承办需国家、省和市、县平衡建设条件的电子信息产品制造业、软件与信息服务业固定资产投资前期项目（含利用外资项目）的报批工作。提出电子信息产品制造业、软件与信息服务业专项资金安排建议。组织实施信息技术服务、系统集成及服务的技术规范和标准。指导协调信息安全技术、产品研发及产业化。统筹推进全县工业领域信息化发展。研究拟订信息化和工业化融合发展、规划、标准和政策措施。指导推进工业领域数字化、网络化、智能化。推动建立信息化和工业化融合绩效评估制度。统筹指导工业领域信息安全。研究拟订工业信息安全和信息安全产业发展战略、规划、政策和标准。指导做好重要工业领域工控系统信息安全保障工作。</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（十八）生产行业管理股。</w:t>
      </w:r>
      <w:r>
        <w:rPr>
          <w:rFonts w:ascii="Times New Roman" w:hAnsi="Times New Roman" w:eastAsia="仿宋_GB2312" w:cs="Times New Roman"/>
          <w:color w:val="000000"/>
          <w:sz w:val="32"/>
          <w:szCs w:val="32"/>
        </w:rPr>
        <w:t>研究拟订并组织实施装备工业发展规划，协调发展中的重大问题和重大事项。组织实施相关行业规范条件、技术规范和标准。提出装备工业结构调整目标、产业布局和技术改造项目资金意见。负责组织申报国家装备工业相关专项。组织实施首台（套）重大技术装备应用工作。推进智能制造发展。组织实施相关行业的技术规范和标准。承担县新能源汽车发展和推广应用领导小组办公室日常工作。组织实施国家工业行业技术规范和标准，指导行业质量管理工作。协调指导与制造业相关的生产性服务业发展，推进制造业商业模式创新和业态创新。承担促进全县工业设计发展相关工作，负责拟订并组织实施工业设计发展规划及相关政策措施。提出工</w:t>
      </w:r>
      <w:r>
        <w:rPr>
          <w:rFonts w:ascii="Times New Roman" w:hAnsi="Times New Roman" w:eastAsia="仿宋_GB2312" w:cs="Times New Roman"/>
          <w:color w:val="000000"/>
          <w:spacing w:val="-6"/>
          <w:sz w:val="32"/>
          <w:szCs w:val="32"/>
        </w:rPr>
        <w:t>业文化遗产保护与利用、工业旅游的政策建议，促进工业文化发展。</w:t>
      </w:r>
      <w:r>
        <w:rPr>
          <w:rFonts w:ascii="Times New Roman" w:hAnsi="Times New Roman" w:eastAsia="仿宋_GB2312" w:cs="Times New Roman"/>
          <w:color w:val="000000"/>
          <w:sz w:val="32"/>
          <w:szCs w:val="32"/>
        </w:rPr>
        <w:t>贯彻执行中央、省和市有关军民融合产业的方针政策，协助企业做好保密资格认证、国军标质量体系认证、安全性评价认证和武器装备科研生产许可证申报的前期工作。协助本辖区军工企事业单位和民口军品配套企业做好保密资格认证、国军标质量体系认证、安全性评价认证和武器装备科研生产许可证申报的前期工作。负责本辖区军品科研生产计划的督促检查，协调解决有关问题，提供地方性保障条件。负责本辖区军工动员固定资产的管理工作，确保军工动员资产的保值增值。承担全县钢铁、有色、黄金、稀土、石化（不含炼油)、化工（不含煤制燃料和燃料乙醇）、建材等行业管理工作。承担轻工、纺织、食品、医药、家电等行业管理工作。拟订并组织实施原材料工业、消费品工业发展战略、规划。提出原材料工业、消费品工业结构调整目标、产业布局和重点技术改造项目贴息资金意见。承办需国家和省、市、县平衡建设条件的原材料工业、消费品工业固定资产投资前期项目（含利用外资项目）的申报和审批工作。承担中药材生产扶持项目管理、县级药品储备管理工作。</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（十九）工业运行监测协调股。</w:t>
      </w:r>
      <w:r>
        <w:rPr>
          <w:rFonts w:ascii="Times New Roman" w:hAnsi="Times New Roman" w:eastAsia="仿宋_GB2312" w:cs="Times New Roman"/>
          <w:color w:val="000000"/>
          <w:sz w:val="32"/>
          <w:szCs w:val="32"/>
        </w:rPr>
        <w:t>负责中小企业统计网络建设、运行监测和统计分析。监测分析工业日常运行，分析全县工业运行态势和国内外工业形势，研究提出有关政策措施。统计并发布相关信息，进行预测预警和信息引导。协调解决行业运行发展中的有关问题。负责全县工业用电运行监测协调工作，指导工业用电需求侧管理工作。承担应急管理、产业安全相关工作。承担县政府减轻企业负担联席会议办公室日常工作。</w:t>
      </w:r>
    </w:p>
    <w:p>
      <w:pPr>
        <w:adjustRightInd w:val="0"/>
        <w:snapToGrid w:val="0"/>
        <w:spacing w:line="600" w:lineRule="exact"/>
        <w:ind w:firstLine="643" w:firstLineChars="200"/>
        <w:textAlignment w:val="baseline"/>
        <w:rPr>
          <w:rFonts w:ascii="Times New Roman" w:hAnsi="Times New Roman" w:eastAsia="仿宋_GB2312" w:cs="Times New Roman"/>
          <w:color w:val="000000"/>
          <w:sz w:val="32"/>
          <w:szCs w:val="32"/>
        </w:rPr>
      </w:pPr>
      <w:r>
        <w:rPr>
          <w:rFonts w:ascii="楷体" w:hAnsi="楷体" w:eastAsia="楷体" w:cs="楷体"/>
          <w:b/>
          <w:sz w:val="32"/>
          <w:szCs w:val="32"/>
        </w:rPr>
        <w:t>（二十）政策法规股。</w:t>
      </w:r>
      <w:r>
        <w:rPr>
          <w:rFonts w:ascii="Times New Roman" w:hAnsi="Times New Roman" w:eastAsia="仿宋_GB2312" w:cs="Times New Roman"/>
          <w:color w:val="000000"/>
          <w:sz w:val="32"/>
          <w:szCs w:val="32"/>
        </w:rPr>
        <w:t>承担机关有关规范性文件的合法性审查工作。负责普法、行政执法协调监督和行政复议、行政应诉工作。组织有关法律和行政法规及规章执行情况的调查研究。推进全县优化营商环境工作。组织局内行政审批制度改革。</w:t>
      </w:r>
    </w:p>
    <w:p>
      <w:pPr>
        <w:adjustRightInd w:val="0"/>
        <w:snapToGrid w:val="0"/>
        <w:spacing w:line="600" w:lineRule="exact"/>
        <w:ind w:firstLine="643" w:firstLineChars="200"/>
        <w:textAlignment w:val="baseline"/>
        <w:rPr>
          <w:rFonts w:ascii="Times New Roman" w:hAnsi="Times New Roman" w:eastAsia="仿宋_GB2312" w:cs="Times New Roman"/>
          <w:sz w:val="32"/>
          <w:szCs w:val="32"/>
        </w:rPr>
      </w:pPr>
      <w:r>
        <w:rPr>
          <w:rFonts w:ascii="楷体" w:hAnsi="楷体" w:eastAsia="楷体" w:cs="楷体"/>
          <w:b/>
          <w:sz w:val="32"/>
          <w:szCs w:val="32"/>
        </w:rPr>
        <w:t>（二十一）投资管理股。</w:t>
      </w:r>
      <w:r>
        <w:rPr>
          <w:rFonts w:ascii="Times New Roman" w:hAnsi="Times New Roman" w:eastAsia="仿宋_GB2312" w:cs="Times New Roman"/>
          <w:sz w:val="32"/>
          <w:szCs w:val="32"/>
        </w:rPr>
        <w:t>提出深化投融资体制改革建议。监测分析全县固定资产投资运行及完成情况。指导监督政策性投资使用方向。参与审核与基本建设有关的各类专项资金。按权限做好新建、改建、扩建项目备案，同时做好审批、核准、备案的监督管理。拟订促进民间投资发展政策，按分工组织推广传统基础设施领域政府和社会资本合作。指导工程咨询业发展。指导管理政府投资代建制工作。参与拟订管理与投资建设有关的标准定额。指导和协调全县招投标工作。组织贯彻实施国家、省、市产业政策，研究拟定地方综合性产业政策。提出全县工业固定资产投资规模和方向（含利用外资和境外投资）以及国家、省和市级财政性资金安排的建议，经批准后实施。负责指导工业企业做好技改项目的备案，并做好引导股权投资基金管理工作。</w:t>
      </w:r>
    </w:p>
    <w:p>
      <w:pPr>
        <w:topLinePunct/>
        <w:adjustRightInd w:val="0"/>
        <w:snapToGrid w:val="0"/>
        <w:spacing w:line="600" w:lineRule="exact"/>
        <w:ind w:firstLine="643" w:firstLineChars="200"/>
        <w:rPr>
          <w:rFonts w:ascii="Times New Roman" w:hAnsi="Times New Roman" w:eastAsia="仿宋" w:cs="Times New Roman"/>
          <w:color w:val="000000"/>
          <w:sz w:val="32"/>
          <w:szCs w:val="32"/>
        </w:rPr>
      </w:pPr>
      <w:r>
        <w:rPr>
          <w:rFonts w:ascii="楷体" w:hAnsi="楷体" w:eastAsia="楷体" w:cs="楷体"/>
          <w:b/>
          <w:sz w:val="32"/>
          <w:szCs w:val="32"/>
        </w:rPr>
        <w:t>党建工作办公室。</w:t>
      </w:r>
      <w:r>
        <w:rPr>
          <w:rFonts w:ascii="Times New Roman" w:hAnsi="Times New Roman" w:eastAsia="仿宋" w:cs="Times New Roman"/>
          <w:kern w:val="0"/>
          <w:sz w:val="32"/>
          <w:szCs w:val="32"/>
          <w:lang w:bidi="ar"/>
        </w:rPr>
        <w:t>负责机关和直属事业单位党的建设等各项工作。</w:t>
      </w:r>
    </w:p>
    <w:p>
      <w:pPr>
        <w:adjustRightInd w:val="0"/>
        <w:snapToGrid w:val="0"/>
        <w:spacing w:line="600" w:lineRule="exact"/>
        <w:ind w:firstLine="640" w:firstLineChars="200"/>
        <w:textAlignment w:val="baseline"/>
        <w:rPr>
          <w:rFonts w:ascii="Times New Roman" w:hAnsi="Times New Roman" w:cs="Times New Roman"/>
        </w:rPr>
      </w:pPr>
      <w:r>
        <w:rPr>
          <w:rFonts w:ascii="Times New Roman" w:hAnsi="Times New Roman" w:eastAsia="黑体" w:cs="Times New Roman"/>
          <w:bCs/>
          <w:color w:val="000000"/>
          <w:sz w:val="32"/>
          <w:szCs w:val="32"/>
        </w:rPr>
        <w:t>第八条</w:t>
      </w:r>
      <w:r>
        <w:rPr>
          <w:rFonts w:ascii="Times New Roman" w:hAnsi="Times New Roman" w:eastAsia="黑体" w:cs="Times New Roman"/>
          <w:b/>
          <w:color w:val="000000"/>
          <w:sz w:val="32"/>
          <w:szCs w:val="32"/>
        </w:rPr>
        <w:t xml:space="preserve"> </w:t>
      </w:r>
      <w:r>
        <w:rPr>
          <w:rFonts w:hint="eastAsia" w:ascii="Times New Roman" w:hAnsi="Times New Roman" w:eastAsia="黑体" w:cs="Times New Roman"/>
          <w:b/>
          <w:color w:val="000000"/>
          <w:sz w:val="32"/>
          <w:szCs w:val="32"/>
        </w:rPr>
        <w:t xml:space="preserve"> </w:t>
      </w:r>
      <w:r>
        <w:rPr>
          <w:rFonts w:ascii="Times New Roman" w:hAnsi="Times New Roman" w:eastAsia="仿宋_GB2312" w:cs="Times New Roman"/>
          <w:color w:val="000000"/>
          <w:sz w:val="32"/>
          <w:szCs w:val="32"/>
        </w:rPr>
        <w:t>大厂回族自治县发展和改革局机关编制80名，其中行政编制17名，工勤编制1名，锁定事业编制62名，正股级领导职数22名（</w:t>
      </w:r>
      <w:r>
        <w:rPr>
          <w:rFonts w:ascii="Times New Roman" w:hAnsi="Times New Roman" w:eastAsia="仿宋" w:cs="Times New Roman"/>
          <w:color w:val="000000"/>
          <w:sz w:val="32"/>
          <w:szCs w:val="32"/>
        </w:rPr>
        <w:t>包括党建工作办公室主任</w:t>
      </w:r>
      <w:r>
        <w:rPr>
          <w:rFonts w:ascii="Times New Roman" w:hAnsi="Times New Roman" w:eastAsia="仿宋_GB2312" w:cs="Times New Roman"/>
          <w:color w:val="000000"/>
          <w:sz w:val="32"/>
          <w:szCs w:val="32"/>
        </w:rPr>
        <w:t>），副股级领导职数11名。</w:t>
      </w:r>
    </w:p>
    <w:p>
      <w:pPr>
        <w:pStyle w:val="7"/>
        <w:spacing w:line="600" w:lineRule="exact"/>
        <w:ind w:left="0" w:firstLine="640" w:firstLineChars="200"/>
        <w:rPr>
          <w:rFonts w:ascii="Times New Roman" w:hAnsi="Times New Roman" w:eastAsia="仿宋_GB2312" w:cs="Times New Roman"/>
        </w:rPr>
      </w:pPr>
      <w:r>
        <w:rPr>
          <w:rFonts w:ascii="Times New Roman" w:hAnsi="Times New Roman" w:eastAsia="仿宋_GB2312" w:cs="Times New Roman"/>
          <w:color w:val="000000"/>
          <w:sz w:val="32"/>
          <w:szCs w:val="32"/>
        </w:rPr>
        <w:t>科级领导职数设置另行明确。</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第九条</w:t>
      </w:r>
      <w:r>
        <w:rPr>
          <w:rFonts w:ascii="Times New Roman" w:hAnsi="Times New Roman" w:eastAsia="仿宋_GB2312" w:cs="Times New Roman"/>
          <w:color w:val="000000"/>
          <w:sz w:val="32"/>
          <w:szCs w:val="32"/>
        </w:rPr>
        <w:t xml:space="preserve">  大厂回族自治县发展和改革局所属事业单位的设置、职责和编制事项另行规定。</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第十条</w:t>
      </w:r>
      <w:r>
        <w:rPr>
          <w:rFonts w:ascii="Times New Roman" w:hAnsi="Times New Roman" w:eastAsia="仿宋_GB2312" w:cs="Times New Roman"/>
          <w:color w:val="000000"/>
          <w:sz w:val="32"/>
          <w:szCs w:val="32"/>
        </w:rPr>
        <w:t xml:space="preserve">  本规定具体解释工作由中共大厂回族自治县委组织部承担，其调整由中共大厂回族自治县委组织部按规定程序办理。</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szCs w:val="24"/>
              </w:rPr>
              <w:t>廊坊市大厂回族自治县发展和改革局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b/>
                <w:bCs/>
                <w:sz w:val="24"/>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b/>
                <w:bCs/>
                <w:sz w:val="24"/>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b/>
                <w:bCs/>
                <w:sz w:val="24"/>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大厂回族自治县发展和改革局</w:t>
      </w:r>
      <w:r>
        <w:rPr>
          <w:rFonts w:ascii="仿宋" w:hAnsi="仿宋" w:eastAsia="仿宋" w:cs="Times New Roman"/>
          <w:sz w:val="32"/>
          <w:szCs w:val="32"/>
        </w:rPr>
        <w:t>机关的收支包含在部门预算中。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8681.28</w:t>
      </w:r>
      <w:r>
        <w:rPr>
          <w:rFonts w:ascii="仿宋" w:hAnsi="仿宋" w:eastAsia="仿宋" w:cs="Times New Roman"/>
          <w:sz w:val="32"/>
          <w:szCs w:val="32"/>
        </w:rPr>
        <w:t>万元，其中：一般公共预算收入</w:t>
      </w:r>
      <w:r>
        <w:rPr>
          <w:rFonts w:hint="eastAsia" w:ascii="仿宋" w:hAnsi="仿宋" w:eastAsia="仿宋" w:cs="Times New Roman"/>
          <w:sz w:val="32"/>
          <w:szCs w:val="32"/>
        </w:rPr>
        <w:t>4565.11</w:t>
      </w:r>
      <w:r>
        <w:rPr>
          <w:rFonts w:ascii="仿宋" w:hAnsi="仿宋" w:eastAsia="仿宋" w:cs="Times New Roman"/>
          <w:sz w:val="32"/>
          <w:szCs w:val="32"/>
        </w:rPr>
        <w:t>万元，基金预算收入</w:t>
      </w:r>
      <w:r>
        <w:rPr>
          <w:rFonts w:hint="eastAsia" w:ascii="仿宋" w:hAnsi="仿宋" w:eastAsia="仿宋" w:cs="Times New Roman"/>
          <w:sz w:val="32"/>
          <w:szCs w:val="32"/>
        </w:rPr>
        <w:t>4045.3</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70.87万元</w:t>
      </w:r>
      <w:r>
        <w:rPr>
          <w:rFonts w:ascii="仿宋" w:hAnsi="仿宋" w:eastAsia="仿宋" w:cs="Times New Roman"/>
          <w:sz w:val="32"/>
          <w:szCs w:val="32"/>
        </w:rPr>
        <w:t>（有则写，无则填0万元）。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8681.28</w:t>
      </w:r>
      <w:r>
        <w:rPr>
          <w:rFonts w:ascii="仿宋" w:hAnsi="仿宋" w:eastAsia="仿宋" w:cs="Times New Roman"/>
          <w:sz w:val="32"/>
          <w:szCs w:val="32"/>
        </w:rPr>
        <w:t>万元，其中基本支出</w:t>
      </w:r>
      <w:r>
        <w:rPr>
          <w:rFonts w:hint="eastAsia" w:ascii="仿宋" w:hAnsi="仿宋" w:eastAsia="仿宋" w:cs="Times New Roman"/>
          <w:sz w:val="32"/>
          <w:szCs w:val="32"/>
        </w:rPr>
        <w:t>2246.56</w:t>
      </w:r>
      <w:r>
        <w:rPr>
          <w:rFonts w:ascii="仿宋" w:hAnsi="仿宋" w:eastAsia="仿宋" w:cs="Times New Roman"/>
          <w:sz w:val="32"/>
          <w:szCs w:val="32"/>
        </w:rPr>
        <w:t>万元，包括人员类项目经费</w:t>
      </w:r>
      <w:r>
        <w:rPr>
          <w:rFonts w:hint="eastAsia" w:ascii="仿宋" w:hAnsi="仿宋" w:eastAsia="仿宋" w:cs="Times New Roman"/>
          <w:sz w:val="32"/>
          <w:szCs w:val="32"/>
        </w:rPr>
        <w:t>2053.92</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192.64</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6363.85</w:t>
      </w:r>
      <w:r>
        <w:rPr>
          <w:rFonts w:ascii="仿宋" w:hAnsi="仿宋" w:eastAsia="仿宋" w:cs="Times New Roman"/>
          <w:sz w:val="32"/>
          <w:szCs w:val="32"/>
        </w:rPr>
        <w:t>万元，主要为</w:t>
      </w:r>
      <w:r>
        <w:rPr>
          <w:rFonts w:hint="eastAsia" w:ascii="仿宋" w:hAnsi="仿宋" w:eastAsia="仿宋" w:cs="Times New Roman"/>
          <w:sz w:val="32"/>
          <w:szCs w:val="32"/>
        </w:rPr>
        <w:t>全民大招商</w:t>
      </w:r>
      <w:r>
        <w:rPr>
          <w:rFonts w:ascii="仿宋" w:hAnsi="仿宋" w:eastAsia="仿宋" w:cs="Times New Roman"/>
          <w:sz w:val="32"/>
          <w:szCs w:val="32"/>
        </w:rPr>
        <w:t>、</w:t>
      </w:r>
      <w:r>
        <w:rPr>
          <w:rFonts w:hint="eastAsia" w:ascii="仿宋" w:hAnsi="仿宋" w:eastAsia="仿宋" w:cs="Times New Roman"/>
          <w:sz w:val="32"/>
          <w:szCs w:val="32"/>
        </w:rPr>
        <w:t>中小企业发展支出</w:t>
      </w:r>
      <w:r>
        <w:rPr>
          <w:rFonts w:ascii="仿宋" w:hAnsi="仿宋" w:eastAsia="仿宋" w:cs="Times New Roman"/>
          <w:sz w:val="32"/>
          <w:szCs w:val="32"/>
        </w:rPr>
        <w:t>、</w:t>
      </w:r>
      <w:r>
        <w:rPr>
          <w:rFonts w:hint="eastAsia" w:ascii="仿宋" w:hAnsi="仿宋" w:eastAsia="仿宋" w:cs="Times New Roman"/>
          <w:sz w:val="32"/>
          <w:szCs w:val="32"/>
        </w:rPr>
        <w:t>工业企业改造</w:t>
      </w:r>
      <w:r>
        <w:rPr>
          <w:rFonts w:ascii="仿宋" w:hAnsi="仿宋" w:eastAsia="仿宋" w:cs="Times New Roman"/>
          <w:sz w:val="32"/>
          <w:szCs w:val="32"/>
        </w:rPr>
        <w:t>等；上缴上级支出</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其他支出</w:t>
      </w:r>
      <w:r>
        <w:rPr>
          <w:rFonts w:hint="eastAsia" w:ascii="仿宋" w:hAnsi="仿宋" w:eastAsia="仿宋" w:cs="Times New Roman"/>
          <w:sz w:val="32"/>
          <w:szCs w:val="32"/>
        </w:rPr>
        <w:t>0</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8681.28</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年预算减少</w:t>
      </w:r>
      <w:r>
        <w:rPr>
          <w:rFonts w:hint="eastAsia" w:ascii="仿宋" w:hAnsi="仿宋" w:eastAsia="仿宋" w:cs="Times New Roman"/>
          <w:sz w:val="32"/>
          <w:szCs w:val="32"/>
        </w:rPr>
        <w:t>2458.09</w:t>
      </w:r>
      <w:r>
        <w:rPr>
          <w:rFonts w:ascii="仿宋" w:hAnsi="仿宋" w:eastAsia="仿宋" w:cs="Times New Roman"/>
          <w:sz w:val="32"/>
          <w:szCs w:val="32"/>
        </w:rPr>
        <w:t>万元，其中：基本支出减少</w:t>
      </w:r>
      <w:r>
        <w:rPr>
          <w:rFonts w:hint="eastAsia" w:ascii="仿宋" w:hAnsi="仿宋" w:eastAsia="仿宋" w:cs="Times New Roman"/>
          <w:sz w:val="32"/>
          <w:szCs w:val="32"/>
        </w:rPr>
        <w:t>148.8</w:t>
      </w:r>
      <w:r>
        <w:rPr>
          <w:rFonts w:ascii="仿宋" w:hAnsi="仿宋" w:eastAsia="仿宋" w:cs="Times New Roman"/>
          <w:sz w:val="32"/>
          <w:szCs w:val="32"/>
        </w:rPr>
        <w:t>万元，主要为</w:t>
      </w:r>
      <w:r>
        <w:rPr>
          <w:rFonts w:hint="eastAsia" w:ascii="仿宋" w:hAnsi="仿宋" w:eastAsia="仿宋" w:cs="Times New Roman"/>
          <w:sz w:val="32"/>
          <w:szCs w:val="32"/>
        </w:rPr>
        <w:t>人员经费</w:t>
      </w:r>
      <w:r>
        <w:rPr>
          <w:rFonts w:ascii="仿宋" w:hAnsi="仿宋" w:eastAsia="仿宋" w:cs="Times New Roman"/>
          <w:sz w:val="32"/>
          <w:szCs w:val="32"/>
        </w:rPr>
        <w:t>支出</w:t>
      </w:r>
      <w:r>
        <w:rPr>
          <w:rFonts w:hint="eastAsia" w:ascii="仿宋" w:hAnsi="仿宋" w:eastAsia="仿宋" w:cs="Times New Roman"/>
          <w:sz w:val="32"/>
          <w:szCs w:val="32"/>
        </w:rPr>
        <w:t>减少</w:t>
      </w:r>
      <w:r>
        <w:rPr>
          <w:rFonts w:ascii="仿宋" w:hAnsi="仿宋" w:eastAsia="仿宋" w:cs="Times New Roman"/>
          <w:sz w:val="32"/>
          <w:szCs w:val="32"/>
        </w:rPr>
        <w:t>；项目支出减少</w:t>
      </w:r>
      <w:r>
        <w:rPr>
          <w:rFonts w:hint="eastAsia" w:ascii="仿宋" w:hAnsi="仿宋" w:eastAsia="仿宋" w:cs="Times New Roman"/>
          <w:sz w:val="32"/>
          <w:szCs w:val="32"/>
        </w:rPr>
        <w:t>2309.29</w:t>
      </w:r>
      <w:r>
        <w:rPr>
          <w:rFonts w:ascii="仿宋" w:hAnsi="仿宋" w:eastAsia="仿宋" w:cs="Times New Roman"/>
          <w:sz w:val="32"/>
          <w:szCs w:val="32"/>
        </w:rPr>
        <w:t>万元，主要为</w:t>
      </w:r>
      <w:r>
        <w:rPr>
          <w:rFonts w:hint="eastAsia" w:ascii="仿宋" w:hAnsi="仿宋" w:eastAsia="仿宋" w:cs="Times New Roman"/>
          <w:sz w:val="32"/>
          <w:szCs w:val="32"/>
        </w:rPr>
        <w:t>天然气迎风度冬保障资金、经济表彰会资金</w:t>
      </w:r>
      <w:r>
        <w:rPr>
          <w:rFonts w:ascii="仿宋" w:hAnsi="仿宋" w:eastAsia="仿宋" w:cs="Times New Roman"/>
          <w:sz w:val="32"/>
          <w:szCs w:val="32"/>
        </w:rPr>
        <w:t>项目支出</w:t>
      </w:r>
      <w:r>
        <w:rPr>
          <w:rFonts w:hint="eastAsia" w:ascii="仿宋" w:hAnsi="仿宋" w:eastAsia="仿宋" w:cs="Times New Roman"/>
          <w:sz w:val="32"/>
          <w:szCs w:val="32"/>
        </w:rPr>
        <w:t>减少</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192.64</w:t>
      </w:r>
      <w:r>
        <w:rPr>
          <w:rFonts w:ascii="仿宋" w:hAnsi="仿宋" w:eastAsia="仿宋" w:cs="Times New Roman"/>
          <w:sz w:val="32"/>
          <w:szCs w:val="32"/>
        </w:rPr>
        <w:t>万元，主要用于</w:t>
      </w:r>
      <w:r>
        <w:rPr>
          <w:rFonts w:hint="eastAsia" w:ascii="仿宋" w:hAnsi="仿宋" w:eastAsia="仿宋" w:cs="Times New Roman"/>
          <w:sz w:val="32"/>
          <w:szCs w:val="32"/>
        </w:rPr>
        <w:t>机关</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31.42</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w:t>
      </w:r>
      <w:r>
        <w:rPr>
          <w:rFonts w:hint="eastAsia" w:ascii="仿宋" w:hAnsi="仿宋" w:eastAsia="仿宋" w:cs="Times New Roman"/>
          <w:sz w:val="32"/>
          <w:szCs w:val="32"/>
        </w:rPr>
        <w:t>及</w:t>
      </w:r>
      <w:r>
        <w:rPr>
          <w:rFonts w:ascii="仿宋" w:hAnsi="仿宋" w:eastAsia="仿宋" w:cs="Times New Roman"/>
          <w:sz w:val="32"/>
          <w:szCs w:val="32"/>
        </w:rPr>
        <w:t>运维费</w:t>
      </w:r>
      <w:r>
        <w:rPr>
          <w:rFonts w:hint="eastAsia" w:ascii="仿宋" w:hAnsi="仿宋" w:eastAsia="仿宋" w:cs="Times New Roman"/>
          <w:sz w:val="32"/>
          <w:szCs w:val="32"/>
        </w:rPr>
        <w:t>30.4</w:t>
      </w:r>
      <w:r>
        <w:rPr>
          <w:rFonts w:ascii="仿宋" w:hAnsi="仿宋" w:eastAsia="仿宋" w:cs="Times New Roman"/>
          <w:sz w:val="32"/>
          <w:szCs w:val="32"/>
        </w:rPr>
        <w:t>万元（其中：公务用车购置费为</w:t>
      </w:r>
      <w:r>
        <w:rPr>
          <w:rFonts w:hint="eastAsia" w:ascii="仿宋" w:hAnsi="仿宋" w:eastAsia="仿宋" w:cs="Times New Roman"/>
          <w:sz w:val="32"/>
          <w:szCs w:val="32"/>
        </w:rPr>
        <w:t>18</w:t>
      </w:r>
      <w:r>
        <w:rPr>
          <w:rFonts w:ascii="仿宋" w:hAnsi="仿宋" w:eastAsia="仿宋" w:cs="Times New Roman"/>
          <w:sz w:val="32"/>
          <w:szCs w:val="32"/>
        </w:rPr>
        <w:t>万元，公务用车运维费</w:t>
      </w:r>
      <w:r>
        <w:rPr>
          <w:rFonts w:hint="eastAsia" w:ascii="仿宋" w:hAnsi="仿宋" w:eastAsia="仿宋" w:cs="Times New Roman"/>
          <w:sz w:val="32"/>
          <w:szCs w:val="32"/>
        </w:rPr>
        <w:t>12.4</w:t>
      </w:r>
      <w:r>
        <w:rPr>
          <w:rFonts w:ascii="仿宋" w:hAnsi="仿宋" w:eastAsia="仿宋" w:cs="Times New Roman"/>
          <w:sz w:val="32"/>
          <w:szCs w:val="32"/>
        </w:rPr>
        <w:t>万元)；公务接待费</w:t>
      </w:r>
      <w:r>
        <w:rPr>
          <w:rFonts w:hint="eastAsia" w:ascii="仿宋" w:hAnsi="仿宋" w:eastAsia="仿宋" w:cs="Times New Roman"/>
          <w:sz w:val="32"/>
          <w:szCs w:val="32"/>
        </w:rPr>
        <w:t>1.02</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增</w:t>
      </w:r>
      <w:r>
        <w:rPr>
          <w:rFonts w:hint="eastAsia" w:ascii="仿宋" w:hAnsi="仿宋" w:eastAsia="仿宋" w:cs="Times New Roman"/>
          <w:sz w:val="32"/>
          <w:szCs w:val="32"/>
        </w:rPr>
        <w:t>加1</w:t>
      </w:r>
      <w:r>
        <w:rPr>
          <w:rFonts w:ascii="仿宋" w:hAnsi="仿宋" w:eastAsia="仿宋" w:cs="Times New Roman"/>
          <w:sz w:val="32"/>
          <w:szCs w:val="32"/>
        </w:rPr>
        <w:t>8.52万元，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公务用车购置及运维费增</w:t>
      </w:r>
      <w:r>
        <w:rPr>
          <w:rFonts w:hint="eastAsia" w:ascii="仿宋" w:hAnsi="仿宋" w:eastAsia="仿宋" w:cs="Times New Roman"/>
          <w:sz w:val="32"/>
          <w:szCs w:val="32"/>
        </w:rPr>
        <w:t>加18</w:t>
      </w:r>
      <w:r>
        <w:rPr>
          <w:rFonts w:ascii="仿宋" w:hAnsi="仿宋" w:eastAsia="仿宋" w:cs="Times New Roman"/>
          <w:sz w:val="32"/>
          <w:szCs w:val="32"/>
        </w:rPr>
        <w:t>.6万元（其中：公务用车购置费增</w:t>
      </w:r>
      <w:r>
        <w:rPr>
          <w:rFonts w:hint="eastAsia" w:ascii="仿宋" w:hAnsi="仿宋" w:eastAsia="仿宋" w:cs="Times New Roman"/>
          <w:sz w:val="32"/>
          <w:szCs w:val="32"/>
        </w:rPr>
        <w:t>加18</w:t>
      </w:r>
      <w:r>
        <w:rPr>
          <w:rFonts w:ascii="仿宋" w:hAnsi="仿宋" w:eastAsia="仿宋" w:cs="Times New Roman"/>
          <w:sz w:val="32"/>
          <w:szCs w:val="32"/>
        </w:rPr>
        <w:t>万元，公务用车运维费增</w:t>
      </w:r>
      <w:r>
        <w:rPr>
          <w:rFonts w:hint="eastAsia" w:ascii="仿宋" w:hAnsi="仿宋" w:eastAsia="仿宋" w:cs="Times New Roman"/>
          <w:sz w:val="32"/>
          <w:szCs w:val="32"/>
        </w:rPr>
        <w:t>加0.6</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主要原因是</w:t>
      </w:r>
      <w:r>
        <w:rPr>
          <w:rFonts w:hint="eastAsia" w:ascii="仿宋" w:hAnsi="仿宋" w:eastAsia="仿宋" w:cs="Times New Roman"/>
          <w:sz w:val="32"/>
          <w:szCs w:val="32"/>
        </w:rPr>
        <w:t>公务用车老旧已到达报废年限</w:t>
      </w:r>
      <w:r>
        <w:rPr>
          <w:rFonts w:ascii="仿宋" w:hAnsi="仿宋" w:eastAsia="仿宋" w:cs="Times New Roman"/>
          <w:sz w:val="32"/>
          <w:szCs w:val="32"/>
        </w:rPr>
        <w:t>；公务接待费</w:t>
      </w:r>
      <w:r>
        <w:rPr>
          <w:rFonts w:hint="eastAsia" w:ascii="仿宋" w:hAnsi="仿宋" w:eastAsia="仿宋" w:cs="Times New Roman"/>
          <w:sz w:val="32"/>
          <w:szCs w:val="32"/>
        </w:rPr>
        <w:t>1.02</w:t>
      </w:r>
      <w:r>
        <w:rPr>
          <w:rFonts w:ascii="仿宋" w:hAnsi="仿宋" w:eastAsia="仿宋" w:cs="Times New Roman"/>
          <w:sz w:val="32"/>
          <w:szCs w:val="32"/>
        </w:rPr>
        <w:t>万元</w:t>
      </w:r>
      <w:r>
        <w:rPr>
          <w:rFonts w:hint="eastAsia" w:ascii="仿宋" w:hAnsi="仿宋" w:eastAsia="仿宋" w:cs="Times New Roman"/>
          <w:sz w:val="32"/>
          <w:szCs w:val="32"/>
        </w:rPr>
        <w:t>，与2021年相比</w:t>
      </w:r>
      <w:r>
        <w:rPr>
          <w:rFonts w:ascii="仿宋" w:hAnsi="仿宋" w:eastAsia="仿宋" w:cs="Times New Roman"/>
          <w:sz w:val="32"/>
          <w:szCs w:val="32"/>
        </w:rPr>
        <w:t>减</w:t>
      </w:r>
      <w:r>
        <w:rPr>
          <w:rFonts w:hint="eastAsia" w:ascii="仿宋" w:hAnsi="仿宋" w:eastAsia="仿宋" w:cs="Times New Roman"/>
          <w:sz w:val="32"/>
          <w:szCs w:val="32"/>
        </w:rPr>
        <w:t>少0.08万元，</w:t>
      </w:r>
      <w:r>
        <w:rPr>
          <w:rFonts w:ascii="仿宋" w:hAnsi="仿宋" w:eastAsia="仿宋" w:cs="Times New Roman"/>
          <w:sz w:val="32"/>
          <w:szCs w:val="32"/>
        </w:rPr>
        <w:t>主要原因是</w:t>
      </w:r>
      <w:r>
        <w:rPr>
          <w:rFonts w:hint="eastAsia" w:ascii="仿宋" w:hAnsi="仿宋" w:eastAsia="仿宋" w:cs="Times New Roman"/>
          <w:sz w:val="32"/>
          <w:szCs w:val="32"/>
        </w:rPr>
        <w:t>落实勤俭节约各项规定，严格控制公务接待费支出。</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五、绩效预算信息</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第一部分 部门整体绩效目标</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（一）总体绩效目标</w:t>
      </w:r>
    </w:p>
    <w:p>
      <w:pPr>
        <w:pStyle w:val="14"/>
        <w:rPr>
          <w:rFonts w:ascii="仿宋" w:hAnsi="仿宋" w:eastAsia="仿宋" w:cs="仿宋"/>
          <w:sz w:val="32"/>
          <w:szCs w:val="32"/>
        </w:rPr>
      </w:pPr>
      <w:r>
        <w:rPr>
          <w:rFonts w:hint="eastAsia" w:ascii="仿宋" w:hAnsi="仿宋" w:eastAsia="仿宋" w:cs="仿宋"/>
          <w:sz w:val="32"/>
          <w:szCs w:val="32"/>
        </w:rPr>
        <w:t>（一）贯彻落实国家和省市有关内外贸易、国际经济合作、新型工业化、创新驱动等发展战略、方针、政策和法律法规，拟订并组织实施全县国民经济和社会发展战略、中长期规划和年度计划。牵头组织统一规划体系建设。负责县级专项规划、区域规划、空间规划与上下级发展规划的统筹衔接。拟订规范性文件。</w:t>
      </w:r>
    </w:p>
    <w:p>
      <w:pPr>
        <w:pStyle w:val="14"/>
        <w:rPr>
          <w:rFonts w:ascii="仿宋" w:hAnsi="仿宋" w:eastAsia="仿宋" w:cs="仿宋"/>
          <w:sz w:val="32"/>
          <w:szCs w:val="32"/>
        </w:rPr>
      </w:pPr>
      <w:r>
        <w:rPr>
          <w:rFonts w:hint="eastAsia" w:ascii="仿宋" w:hAnsi="仿宋" w:eastAsia="仿宋" w:cs="仿宋"/>
          <w:sz w:val="32"/>
          <w:szCs w:val="32"/>
        </w:rPr>
        <w:t>（二）提出加快建设全县现代化经济体系、推动高质量发展的总体目标、重大任务以及工业、科技、商业各相关专项规划意见建议。组织开展重大战略规划、重大政策、重大工程等的评估督导，提出相关调整建议。</w:t>
      </w:r>
    </w:p>
    <w:p>
      <w:pPr>
        <w:pStyle w:val="14"/>
        <w:rPr>
          <w:rFonts w:ascii="仿宋" w:hAnsi="仿宋" w:eastAsia="仿宋" w:cs="仿宋"/>
          <w:sz w:val="32"/>
          <w:szCs w:val="32"/>
        </w:rPr>
      </w:pPr>
      <w:r>
        <w:rPr>
          <w:rFonts w:hint="eastAsia" w:ascii="仿宋" w:hAnsi="仿宋" w:eastAsia="仿宋" w:cs="仿宋"/>
          <w:sz w:val="32"/>
          <w:szCs w:val="32"/>
        </w:rPr>
        <w:t>（三）贯彻落实国家宏观调控政策，统筹提出全县国民经济和社会发展主要目标，监测预测预警宏观经济和社会发展态势趋势，提出经济调节政策建议。综合协调经济调节政策，牵头研究应对措施。调节经济运行，协调解决经济运行中的重大问题。拟订并组织实施有关价格政策，组织拟订由县级管理的重要商品、服务价格和重要收费标准。参与贯彻落实国家财政政策、货币政策和土地政策。</w:t>
      </w:r>
    </w:p>
    <w:p>
      <w:pPr>
        <w:pStyle w:val="14"/>
        <w:rPr>
          <w:rFonts w:ascii="仿宋" w:hAnsi="仿宋" w:eastAsia="仿宋" w:cs="仿宋"/>
          <w:sz w:val="32"/>
          <w:szCs w:val="32"/>
        </w:rPr>
      </w:pPr>
      <w:r>
        <w:rPr>
          <w:rFonts w:hint="eastAsia" w:ascii="仿宋" w:hAnsi="仿宋" w:eastAsia="仿宋" w:cs="仿宋"/>
          <w:sz w:val="32"/>
          <w:szCs w:val="32"/>
        </w:rPr>
        <w:t>（四）指导推进和综合协调经济体制改革有关工作，提出相关改革建议。牵头推进供给侧结构性改革。落实产权制度和要素市场化配置改革。落实国家完善基本经济制度政策，推进现代化市场体系建设，会同有关部门组织实施市场准入负面清单制度。牵头推进优化营商环境工作。</w:t>
      </w:r>
    </w:p>
    <w:p>
      <w:pPr>
        <w:pStyle w:val="14"/>
        <w:rPr>
          <w:rFonts w:ascii="仿宋" w:hAnsi="仿宋" w:eastAsia="仿宋" w:cs="仿宋"/>
          <w:sz w:val="32"/>
          <w:szCs w:val="32"/>
        </w:rPr>
      </w:pPr>
      <w:r>
        <w:rPr>
          <w:rFonts w:hint="eastAsia" w:ascii="仿宋" w:hAnsi="仿宋" w:eastAsia="仿宋" w:cs="仿宋"/>
          <w:sz w:val="32"/>
          <w:szCs w:val="32"/>
        </w:rPr>
        <w:t>（五）推进全县利用外资和境外投资的战略、规划、总量平衡和结构优化政策。牵头推进全县融入“一带一路”建设有关工作。承担统筹协调走出去有关工作。会同有关部门贯彻落实国家外商投资准入负面清单。负责全县全口径外债的总量控制、结构优化和监测工作。</w:t>
      </w:r>
    </w:p>
    <w:p>
      <w:pPr>
        <w:pStyle w:val="14"/>
        <w:rPr>
          <w:rFonts w:ascii="仿宋" w:hAnsi="仿宋" w:eastAsia="仿宋" w:cs="仿宋"/>
          <w:sz w:val="32"/>
          <w:szCs w:val="32"/>
        </w:rPr>
      </w:pPr>
      <w:r>
        <w:rPr>
          <w:rFonts w:hint="eastAsia" w:ascii="仿宋" w:hAnsi="仿宋" w:eastAsia="仿宋" w:cs="仿宋"/>
          <w:sz w:val="32"/>
          <w:szCs w:val="32"/>
        </w:rPr>
        <w:t>（六）负责全县投资综合管理。拟订全县固定资产投资总规模、结构调控目标和政策，按规定提出政府投资项目审批权限和修订政府核准的固定资产投资项目目录建议。参与安排县级预算内基本建设资金和有关发展性专项资金，按规定做好项目备案，同时做好审批、审核、核准的监督管理工作。规划全县重点建设项目和产业布局，组织推动重点建设项目。拟订并推动落实鼓励民间投资政策措施。</w:t>
      </w:r>
    </w:p>
    <w:p>
      <w:pPr>
        <w:pStyle w:val="14"/>
        <w:rPr>
          <w:rFonts w:ascii="仿宋" w:hAnsi="仿宋" w:eastAsia="仿宋" w:cs="仿宋"/>
          <w:sz w:val="32"/>
          <w:szCs w:val="32"/>
        </w:rPr>
      </w:pPr>
      <w:r>
        <w:rPr>
          <w:rFonts w:hint="eastAsia" w:ascii="仿宋" w:hAnsi="仿宋" w:eastAsia="仿宋" w:cs="仿宋"/>
          <w:sz w:val="32"/>
          <w:szCs w:val="32"/>
        </w:rPr>
        <w:t>（七）推进落实区域协调发展战略、新型城镇化战略和重大政策，组织拟订相关区域规划和政策。推进实施京津冀协同发展等区域发展战略的相关工作。统筹协调区域合作和对口支援工作。组织编制并推动实施新型城镇化规划。</w:t>
      </w:r>
    </w:p>
    <w:p>
      <w:pPr>
        <w:pStyle w:val="14"/>
        <w:rPr>
          <w:rFonts w:ascii="仿宋" w:hAnsi="仿宋" w:eastAsia="仿宋" w:cs="仿宋"/>
          <w:sz w:val="32"/>
          <w:szCs w:val="32"/>
        </w:rPr>
      </w:pPr>
      <w:r>
        <w:rPr>
          <w:rFonts w:hint="eastAsia" w:ascii="仿宋" w:hAnsi="仿宋" w:eastAsia="仿宋" w:cs="仿宋"/>
          <w:sz w:val="32"/>
          <w:szCs w:val="32"/>
        </w:rPr>
        <w:t>（八）组织贯彻实施国家产业政策，拟订全县综合性产业政策。协调一二三产业发展重大问题并统筹衔接相关发展规划和重大政策。协调推进重大基础设施建设，组织拟订并推动实施服务业及现代物流业发展规划和重大政策。综合研判消费变动趋势，拟订实施促进消费的综合性政策措施。</w:t>
      </w:r>
    </w:p>
    <w:p>
      <w:pPr>
        <w:pStyle w:val="14"/>
        <w:rPr>
          <w:rFonts w:ascii="仿宋" w:hAnsi="仿宋" w:eastAsia="仿宋" w:cs="仿宋"/>
          <w:sz w:val="32"/>
          <w:szCs w:val="32"/>
        </w:rPr>
      </w:pPr>
      <w:r>
        <w:rPr>
          <w:rFonts w:hint="eastAsia" w:ascii="仿宋" w:hAnsi="仿宋" w:eastAsia="仿宋" w:cs="仿宋"/>
          <w:sz w:val="32"/>
          <w:szCs w:val="32"/>
        </w:rPr>
        <w:t>（九）推动实施全县创新驱动发展战略。会同相关部门拟订全县推进创新创业的规划和政策，提出创新发展和培育经济发展新动能的政策。会同相关部门规划布局县级重大科技基础设施。组织拟订并推动实施高技术产业和战略性新兴产业及数字经济发展规划政策，协调产业升级、重大技术装备推广应用等方面的重大问题。</w:t>
      </w:r>
    </w:p>
    <w:p>
      <w:pPr>
        <w:pStyle w:val="14"/>
        <w:rPr>
          <w:rFonts w:ascii="仿宋" w:hAnsi="仿宋" w:eastAsia="仿宋" w:cs="仿宋"/>
          <w:sz w:val="32"/>
          <w:szCs w:val="32"/>
        </w:rPr>
      </w:pPr>
      <w:r>
        <w:rPr>
          <w:rFonts w:hint="eastAsia" w:ascii="仿宋" w:hAnsi="仿宋" w:eastAsia="仿宋" w:cs="仿宋"/>
          <w:sz w:val="32"/>
          <w:szCs w:val="32"/>
        </w:rPr>
        <w:t>（十）跟踪研判涉及经济安全、生态安全、资源安全、科技安全、社会安全等各类风险隐患，提出相关工作建议。协调落实重要工业品、原材料和重要农产品进出口调控措施。会同有关部门拟订全县储备物资品种目录、总体发展规划。</w:t>
      </w:r>
    </w:p>
    <w:p>
      <w:pPr>
        <w:pStyle w:val="14"/>
        <w:rPr>
          <w:rFonts w:ascii="仿宋" w:hAnsi="仿宋" w:eastAsia="仿宋" w:cs="仿宋"/>
          <w:sz w:val="32"/>
          <w:szCs w:val="32"/>
        </w:rPr>
      </w:pPr>
      <w:r>
        <w:rPr>
          <w:rFonts w:hint="eastAsia" w:ascii="仿宋" w:hAnsi="仿宋" w:eastAsia="仿宋" w:cs="仿宋"/>
          <w:sz w:val="32"/>
          <w:szCs w:val="32"/>
        </w:rPr>
        <w:t>（十一）负责全县社会发展与国民经济发展的政策衔接，协调有关重大问题。组织拟订社会发展战略、总体规划，统筹推进基本公共服务体系建设和收入分配制度改革，提出促进就业、完善社会保障与经济协调发展的政策建议。</w:t>
      </w:r>
    </w:p>
    <w:p>
      <w:pPr>
        <w:pStyle w:val="14"/>
        <w:rPr>
          <w:rFonts w:ascii="仿宋" w:hAnsi="仿宋" w:eastAsia="仿宋" w:cs="仿宋"/>
          <w:sz w:val="32"/>
          <w:szCs w:val="32"/>
        </w:rPr>
      </w:pPr>
      <w:r>
        <w:rPr>
          <w:rFonts w:hint="eastAsia" w:ascii="仿宋" w:hAnsi="仿宋" w:eastAsia="仿宋" w:cs="仿宋"/>
          <w:sz w:val="32"/>
          <w:szCs w:val="32"/>
        </w:rPr>
        <w:t>（十二）推进实施可持续发展战略，推动生态文明建设和改革，协调生态环境保护与修复、能源资源节约和综合利用等工作。提出健全生态保护补偿机制的政策措施，综合协调环保产业和清洁生产促进有关工作。组织实施全县能源消费控制目标、任务。</w:t>
      </w:r>
    </w:p>
    <w:p>
      <w:pPr>
        <w:pStyle w:val="14"/>
        <w:rPr>
          <w:rFonts w:ascii="仿宋" w:hAnsi="仿宋" w:eastAsia="仿宋" w:cs="仿宋"/>
          <w:sz w:val="32"/>
          <w:szCs w:val="32"/>
        </w:rPr>
      </w:pPr>
      <w:r>
        <w:rPr>
          <w:rFonts w:hint="eastAsia" w:ascii="仿宋" w:hAnsi="仿宋" w:eastAsia="仿宋" w:cs="仿宋"/>
          <w:sz w:val="32"/>
          <w:szCs w:val="32"/>
        </w:rPr>
        <w:t>（十三）组织拟订推进全县经济建设与国防建设协调发展的战略和规划，组织推进经济建设项目贯彻国防要求。</w:t>
      </w:r>
    </w:p>
    <w:p>
      <w:pPr>
        <w:pStyle w:val="14"/>
        <w:rPr>
          <w:rFonts w:ascii="仿宋" w:hAnsi="仿宋" w:eastAsia="仿宋" w:cs="仿宋"/>
          <w:sz w:val="32"/>
          <w:szCs w:val="32"/>
        </w:rPr>
      </w:pPr>
      <w:r>
        <w:rPr>
          <w:rFonts w:hint="eastAsia" w:ascii="仿宋" w:hAnsi="仿宋" w:eastAsia="仿宋" w:cs="仿宋"/>
          <w:sz w:val="32"/>
          <w:szCs w:val="32"/>
        </w:rPr>
        <w:t>（十四）承担县委财经委员会、县推进京津冀协同发展工作领导小组、县重点建设领导小组等有关具体工作。</w:t>
      </w:r>
    </w:p>
    <w:p>
      <w:pPr>
        <w:pStyle w:val="14"/>
        <w:rPr>
          <w:rFonts w:ascii="仿宋" w:hAnsi="仿宋" w:eastAsia="仿宋" w:cs="仿宋"/>
          <w:sz w:val="32"/>
          <w:szCs w:val="32"/>
        </w:rPr>
      </w:pPr>
      <w:r>
        <w:rPr>
          <w:rFonts w:hint="eastAsia" w:ascii="仿宋" w:hAnsi="仿宋" w:eastAsia="仿宋" w:cs="仿宋"/>
          <w:sz w:val="32"/>
          <w:szCs w:val="32"/>
        </w:rPr>
        <w:t>（十五）组织落实国家、省有关粮食流通和物资储备的法律、法规和政策。拟订全县粮食流通和物资储备的政策和制度并组织实施。指导全县粮食流通和物资储备体制改革。落实国家粮食行业发展规划和政策，拟订全县粮食行业发展规划并组织实施。承担全县粮食流通宏观调控，落实国家粮食购销政策，负责粮食、食糖等物资管理工作，监测县内粮食、食糖等物资供求变化并预测预警。承担粮食安全责任制考核日常工作。研究提出县级粮食和物资储备规划、储备品种目录建议，组织实施县级粮食、食糖和救灾物资等物资的收储、轮换和日常管理，落实有关动用计划和指令。负责贯彻落实国家粮食和物资储备仓储管理有关技术标准和规范。负责粮食流通、加工行业安全生产的监督管理，承担全县粮食、食糖和救灾物资等物资承储企业以及物资储备承储单位安全生产的监管责任。负责全县粮食、食糖和救灾物资等物资储备基础设施建设和管理。拟订粮食流通设施建设规划并组织实施，管理有关储备基础设施和粮食流通设施投资项目。负责对全县粮食、食糖和救灾物资等物资储备的数量、质量和储存安全实施监督管理。对其他部门管理的物资储备进行监督指导。负责粮食流通监督检查，负责粮食收购、储存、运输环节粮食质量安全和原粮卫生的监督管理，组织实施全县粮食库存检查工作。贯彻国家粮食流通和物资储备有关标准、粮食质量标准和有关技术规范并监督执行。开展全县粮食和物资储备的对外合作与交流。</w:t>
      </w:r>
    </w:p>
    <w:p>
      <w:pPr>
        <w:pStyle w:val="14"/>
        <w:rPr>
          <w:rFonts w:ascii="仿宋" w:hAnsi="仿宋" w:eastAsia="仿宋" w:cs="仿宋"/>
          <w:sz w:val="32"/>
          <w:szCs w:val="32"/>
        </w:rPr>
      </w:pPr>
      <w:r>
        <w:rPr>
          <w:rFonts w:hint="eastAsia" w:ascii="仿宋" w:hAnsi="仿宋" w:eastAsia="仿宋" w:cs="仿宋"/>
          <w:sz w:val="32"/>
          <w:szCs w:val="32"/>
        </w:rPr>
        <w:t>（十六）提出能源发展战略的建议，拟订能源利用规划、产业政策和年度指导计划并组织实施。推进能源体制改革，拟订有关改革方案并组织实施。协调能源发展和改革中的重大问题。组织实施煤炭、石油、天然气、电力(核电)、新能源和可再生能源等能源，以及生物质液体等燃料的产业政策和相关标准。按照规定权限，负责审批、审核县规划内和年度计划规模内能源固定资产投资项目，同时做好审批、核准、审核的监督管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衔接能源生产建设和供需平衡。负责能源预测预警。发布能源信息，参与能源运行调节和应急保障。监管油气、新能源市场运行，规范能源市场秩序。监管油气管网设施的公平开放，参与电力市场的监管。参与拟订与能源相关的资源、财税、环保及应对气候变化等政策，提出能源价格调整建议。</w:t>
      </w:r>
    </w:p>
    <w:p>
      <w:pPr>
        <w:pStyle w:val="14"/>
        <w:rPr>
          <w:rFonts w:ascii="仿宋" w:hAnsi="仿宋" w:eastAsia="仿宋" w:cs="仿宋"/>
          <w:sz w:val="32"/>
          <w:szCs w:val="32"/>
        </w:rPr>
      </w:pPr>
      <w:r>
        <w:rPr>
          <w:rFonts w:hint="eastAsia" w:ascii="仿宋" w:hAnsi="仿宋" w:eastAsia="仿宋" w:cs="仿宋"/>
          <w:sz w:val="32"/>
          <w:szCs w:val="32"/>
        </w:rPr>
        <w:t>（十七）监测分析全县工业运行态势，统计并发布相关信息，进行预测预警和信息引导。协调解决行业运行发展中的有关问题并提出政策建议。负责工业用电监测。负责工业应急管理、产业安全有关工作。</w:t>
      </w:r>
    </w:p>
    <w:p>
      <w:pPr>
        <w:pStyle w:val="14"/>
        <w:rPr>
          <w:rFonts w:ascii="仿宋" w:hAnsi="仿宋" w:eastAsia="仿宋" w:cs="仿宋"/>
          <w:sz w:val="32"/>
          <w:szCs w:val="32"/>
        </w:rPr>
      </w:pPr>
      <w:r>
        <w:rPr>
          <w:rFonts w:hint="eastAsia" w:ascii="仿宋" w:hAnsi="仿宋" w:eastAsia="仿宋" w:cs="仿宋"/>
          <w:sz w:val="32"/>
          <w:szCs w:val="32"/>
        </w:rPr>
        <w:t>（十八）负责提出全县工业固定资产投资规模和方向（含利用外资和境外投资）以及财政性建设资金安排的意见，指导工业企业技术改造投资项目备案工作，并对上述工业固定资产投资项目招标投标活动依法实施监督。</w:t>
      </w:r>
    </w:p>
    <w:p>
      <w:pPr>
        <w:pStyle w:val="14"/>
        <w:rPr>
          <w:rFonts w:ascii="仿宋" w:hAnsi="仿宋" w:eastAsia="仿宋" w:cs="仿宋"/>
          <w:sz w:val="32"/>
          <w:szCs w:val="32"/>
        </w:rPr>
      </w:pPr>
      <w:r>
        <w:rPr>
          <w:rFonts w:hint="eastAsia" w:ascii="仿宋" w:hAnsi="仿宋" w:eastAsia="仿宋" w:cs="仿宋"/>
          <w:sz w:val="32"/>
          <w:szCs w:val="32"/>
        </w:rPr>
        <w:t>（十九）负责对中小企业和民营经济促进工作进行指导、综合协调和监督检查，会同有关部门拟订促进中小企业发展和民营经济发展的相关政策和措施并组织实施，协调解决有关重大问题。</w:t>
      </w:r>
    </w:p>
    <w:p>
      <w:pPr>
        <w:pStyle w:val="14"/>
        <w:rPr>
          <w:rFonts w:ascii="仿宋" w:hAnsi="仿宋" w:eastAsia="仿宋" w:cs="仿宋"/>
          <w:sz w:val="32"/>
          <w:szCs w:val="32"/>
        </w:rPr>
      </w:pPr>
      <w:r>
        <w:rPr>
          <w:rFonts w:hint="eastAsia" w:ascii="仿宋" w:hAnsi="仿宋" w:eastAsia="仿宋" w:cs="仿宋"/>
          <w:sz w:val="32"/>
          <w:szCs w:val="32"/>
        </w:rPr>
        <w:t>（二十）贯彻落实国家政策和标准，拟订高技术产业中涉及生物医药、新材料、信息产业等规划并组织实施。指导行业技术创新和技术进步，以先进适用技术改造提升传统产业。推进实施有关国家、省、市、县科技重大专项，推进相关科研成果产业化，推动全县软件业、信息服务业和新兴产业发展。</w:t>
      </w:r>
    </w:p>
    <w:p>
      <w:pPr>
        <w:pStyle w:val="14"/>
        <w:rPr>
          <w:rFonts w:ascii="仿宋" w:hAnsi="仿宋" w:eastAsia="仿宋" w:cs="仿宋"/>
          <w:sz w:val="32"/>
          <w:szCs w:val="32"/>
        </w:rPr>
      </w:pPr>
      <w:r>
        <w:rPr>
          <w:rFonts w:hint="eastAsia" w:ascii="仿宋" w:hAnsi="仿宋" w:eastAsia="仿宋" w:cs="仿宋"/>
          <w:sz w:val="32"/>
          <w:szCs w:val="32"/>
        </w:rPr>
        <w:t>（二十一）负责全县振兴装备制造业的组织协调，贯彻执行国家、省重大技术装备发展和自主创新规划、政策，依托国家、省、市和县重点工程建设协调有关重大专项的实施，推进重大技术装备国产化，指导引进重大技术装备的消化创新。</w:t>
      </w:r>
    </w:p>
    <w:p>
      <w:pPr>
        <w:pStyle w:val="14"/>
        <w:rPr>
          <w:rFonts w:ascii="仿宋" w:hAnsi="仿宋" w:eastAsia="仿宋" w:cs="仿宋"/>
          <w:sz w:val="32"/>
          <w:szCs w:val="32"/>
        </w:rPr>
      </w:pPr>
      <w:r>
        <w:rPr>
          <w:rFonts w:hint="eastAsia" w:ascii="仿宋" w:hAnsi="仿宋" w:eastAsia="仿宋" w:cs="仿宋"/>
          <w:sz w:val="32"/>
          <w:szCs w:val="32"/>
        </w:rPr>
        <w:t>（二十二）拟订并组织实施全县工业能源节约和资源综合利用促进政策，参与拟订能源节约和资源综合利用促进规划，组织协调相关重大示范工程和新产品、新技术、新设备、新材料的推广应用。</w:t>
      </w:r>
    </w:p>
    <w:p>
      <w:pPr>
        <w:pStyle w:val="14"/>
        <w:rPr>
          <w:rFonts w:ascii="仿宋" w:hAnsi="仿宋" w:eastAsia="仿宋" w:cs="仿宋"/>
          <w:sz w:val="32"/>
          <w:szCs w:val="32"/>
        </w:rPr>
      </w:pPr>
      <w:r>
        <w:rPr>
          <w:rFonts w:hint="eastAsia" w:ascii="仿宋" w:hAnsi="仿宋" w:eastAsia="仿宋" w:cs="仿宋"/>
          <w:sz w:val="32"/>
          <w:szCs w:val="32"/>
        </w:rPr>
        <w:t>（二十三）推进全县工业体制改革和管理创新，提高行业综合素质和核心竞争力，指导工业行业加强安全生产管理，负责民爆行业生产流通的监督管理和安全生产工作。</w:t>
      </w:r>
    </w:p>
    <w:p>
      <w:pPr>
        <w:pStyle w:val="14"/>
        <w:rPr>
          <w:rFonts w:ascii="仿宋" w:hAnsi="仿宋" w:eastAsia="仿宋" w:cs="仿宋"/>
          <w:sz w:val="32"/>
          <w:szCs w:val="32"/>
        </w:rPr>
      </w:pPr>
      <w:r>
        <w:rPr>
          <w:rFonts w:hint="eastAsia" w:ascii="仿宋" w:hAnsi="仿宋" w:eastAsia="仿宋" w:cs="仿宋"/>
          <w:sz w:val="32"/>
          <w:szCs w:val="32"/>
        </w:rPr>
        <w:t>（二十四）开展工业、中小企业的对外合作与交流。</w:t>
      </w:r>
    </w:p>
    <w:p>
      <w:pPr>
        <w:pStyle w:val="14"/>
        <w:rPr>
          <w:rFonts w:ascii="仿宋" w:hAnsi="仿宋" w:eastAsia="仿宋" w:cs="仿宋"/>
          <w:sz w:val="32"/>
          <w:szCs w:val="32"/>
        </w:rPr>
      </w:pPr>
      <w:r>
        <w:rPr>
          <w:rFonts w:hint="eastAsia" w:ascii="仿宋" w:hAnsi="仿宋" w:eastAsia="仿宋" w:cs="仿宋"/>
          <w:sz w:val="32"/>
          <w:szCs w:val="32"/>
        </w:rPr>
        <w:t>（二十五）承担履行《禁止化学武器公约》的组织协调工作。</w:t>
      </w:r>
    </w:p>
    <w:p>
      <w:pPr>
        <w:pStyle w:val="14"/>
        <w:rPr>
          <w:rFonts w:ascii="仿宋" w:hAnsi="仿宋" w:eastAsia="仿宋" w:cs="仿宋"/>
          <w:sz w:val="32"/>
          <w:szCs w:val="32"/>
        </w:rPr>
      </w:pPr>
      <w:r>
        <w:rPr>
          <w:rFonts w:hint="eastAsia" w:ascii="仿宋" w:hAnsi="仿宋" w:eastAsia="仿宋" w:cs="仿宋"/>
          <w:sz w:val="32"/>
          <w:szCs w:val="32"/>
        </w:rPr>
        <w:t>（二十六）承担盐业行业管理工作。</w:t>
      </w:r>
    </w:p>
    <w:p>
      <w:pPr>
        <w:pStyle w:val="14"/>
        <w:rPr>
          <w:rFonts w:ascii="仿宋" w:hAnsi="仿宋" w:eastAsia="仿宋" w:cs="仿宋"/>
          <w:sz w:val="32"/>
          <w:szCs w:val="32"/>
        </w:rPr>
      </w:pPr>
      <w:r>
        <w:rPr>
          <w:rFonts w:hint="eastAsia" w:ascii="仿宋" w:hAnsi="仿宋" w:eastAsia="仿宋" w:cs="仿宋"/>
          <w:sz w:val="32"/>
          <w:szCs w:val="32"/>
        </w:rPr>
        <w:t>（二十七）承担国民经济动员、装备动员以及交通战备有关职责，完成上级军民融合发展委员会办公室交办的任务。</w:t>
      </w:r>
    </w:p>
    <w:p>
      <w:pPr>
        <w:pStyle w:val="14"/>
        <w:rPr>
          <w:rFonts w:ascii="仿宋" w:hAnsi="仿宋" w:eastAsia="仿宋" w:cs="仿宋"/>
          <w:sz w:val="32"/>
          <w:szCs w:val="32"/>
        </w:rPr>
      </w:pPr>
      <w:r>
        <w:rPr>
          <w:rFonts w:hint="eastAsia" w:ascii="仿宋" w:hAnsi="仿宋" w:eastAsia="仿宋" w:cs="仿宋"/>
          <w:sz w:val="32"/>
          <w:szCs w:val="32"/>
        </w:rPr>
        <w:t>（二十八）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县流通领域信息网络和电子商务建设。</w:t>
      </w:r>
    </w:p>
    <w:p>
      <w:pPr>
        <w:pStyle w:val="14"/>
        <w:rPr>
          <w:rFonts w:ascii="仿宋" w:hAnsi="仿宋" w:eastAsia="仿宋" w:cs="仿宋"/>
          <w:sz w:val="32"/>
          <w:szCs w:val="32"/>
        </w:rPr>
      </w:pPr>
      <w:r>
        <w:rPr>
          <w:rFonts w:hint="eastAsia" w:ascii="仿宋" w:hAnsi="仿宋" w:eastAsia="仿宋" w:cs="仿宋"/>
          <w:sz w:val="32"/>
          <w:szCs w:val="32"/>
        </w:rPr>
        <w:t>(二十九)牵头推进商务领域信用体系建设，建立商务诚信公共服务平台。规范商贸企业交易行为，牵头推动全县重要产品追溯体系建设。按有关规定对特殊流通行业进行监督管理。</w:t>
      </w:r>
    </w:p>
    <w:p>
      <w:pPr>
        <w:pStyle w:val="14"/>
        <w:rPr>
          <w:rFonts w:ascii="仿宋" w:hAnsi="仿宋" w:eastAsia="仿宋" w:cs="仿宋"/>
          <w:sz w:val="32"/>
          <w:szCs w:val="32"/>
        </w:rPr>
      </w:pPr>
      <w:r>
        <w:rPr>
          <w:rFonts w:hint="eastAsia" w:ascii="仿宋" w:hAnsi="仿宋" w:eastAsia="仿宋" w:cs="仿宋"/>
          <w:sz w:val="32"/>
          <w:szCs w:val="32"/>
        </w:rPr>
        <w:t>(三十) 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pStyle w:val="14"/>
        <w:rPr>
          <w:rFonts w:ascii="仿宋" w:hAnsi="仿宋" w:eastAsia="仿宋" w:cs="仿宋"/>
          <w:sz w:val="32"/>
          <w:szCs w:val="32"/>
        </w:rPr>
      </w:pPr>
      <w:r>
        <w:rPr>
          <w:rFonts w:hint="eastAsia" w:ascii="仿宋" w:hAnsi="仿宋" w:eastAsia="仿宋" w:cs="仿宋"/>
          <w:sz w:val="32"/>
          <w:szCs w:val="32"/>
        </w:rPr>
        <w:t>(三十一) 执行国家制定的进出口商品、加工贸易管理办法和进出口商品、技术目录。贯彻执行国家和省促进外贸增长方式转变的政策措施。组织实施国家制定的重要工业品、原材料和重要农产品进出口总量计划。会同有关部门协调大宗商品进出口。开展贸易促进活动和外贸促进体系建设。</w:t>
      </w:r>
    </w:p>
    <w:p>
      <w:pPr>
        <w:pStyle w:val="14"/>
        <w:rPr>
          <w:rFonts w:ascii="仿宋" w:hAnsi="仿宋" w:eastAsia="仿宋" w:cs="仿宋"/>
          <w:sz w:val="32"/>
          <w:szCs w:val="32"/>
        </w:rPr>
      </w:pPr>
      <w:r>
        <w:rPr>
          <w:rFonts w:hint="eastAsia" w:ascii="仿宋" w:hAnsi="仿宋" w:eastAsia="仿宋" w:cs="仿宋"/>
          <w:sz w:val="32"/>
          <w:szCs w:val="32"/>
        </w:rPr>
        <w:t>(三十二) 贯彻执行国家和省对外技术贸易、进出口管制以及鼓励技术和成套设备进出口的贸易政策。拟订和推进全县科技兴贸战略。依法监督技术引进、设备进口、国家限制出口技术的工作。</w:t>
      </w:r>
    </w:p>
    <w:p>
      <w:pPr>
        <w:pStyle w:val="14"/>
        <w:rPr>
          <w:rFonts w:ascii="仿宋" w:hAnsi="仿宋" w:eastAsia="仿宋" w:cs="仿宋"/>
          <w:sz w:val="32"/>
          <w:szCs w:val="32"/>
        </w:rPr>
      </w:pPr>
      <w:r>
        <w:rPr>
          <w:rFonts w:hint="eastAsia" w:ascii="仿宋" w:hAnsi="仿宋" w:eastAsia="仿宋" w:cs="仿宋"/>
          <w:sz w:val="32"/>
          <w:szCs w:val="32"/>
        </w:rPr>
        <w:t>(三十三) 会同有关部门贯彻执行国家和省促进服务出口和服务外包发展的规划、政策，牵头拟订全县服务贸易发展规划并组织实施。</w:t>
      </w:r>
    </w:p>
    <w:p>
      <w:pPr>
        <w:pStyle w:val="14"/>
        <w:rPr>
          <w:rFonts w:ascii="仿宋" w:hAnsi="仿宋" w:eastAsia="仿宋" w:cs="仿宋"/>
          <w:sz w:val="32"/>
          <w:szCs w:val="32"/>
        </w:rPr>
      </w:pPr>
      <w:r>
        <w:rPr>
          <w:rFonts w:hint="eastAsia" w:ascii="仿宋" w:hAnsi="仿宋" w:eastAsia="仿宋" w:cs="仿宋"/>
          <w:sz w:val="32"/>
          <w:szCs w:val="32"/>
        </w:rPr>
        <w:t>(三十四) 贯彻执行国家和省利用外资法律法规规章和外商投资产业政策。拟订全县外商投资政策并组织实施。依法监督检查外商投资企业执行有关法律法规、规章、合同章程的情况并协调解决有关问题。依法指导全县吸引外资及外商投资企业备案工作，规范开展对外招商引资活动。综合协调、指导国家级、省级经济开发区有关工作。指导和管理全县外商投资企业进出口工作。</w:t>
      </w:r>
    </w:p>
    <w:p>
      <w:pPr>
        <w:pStyle w:val="14"/>
        <w:rPr>
          <w:rFonts w:ascii="仿宋" w:hAnsi="仿宋" w:eastAsia="仿宋" w:cs="仿宋"/>
          <w:sz w:val="32"/>
          <w:szCs w:val="32"/>
        </w:rPr>
      </w:pPr>
      <w:r>
        <w:rPr>
          <w:rFonts w:hint="eastAsia" w:ascii="仿宋" w:hAnsi="仿宋" w:eastAsia="仿宋" w:cs="仿宋"/>
          <w:sz w:val="32"/>
          <w:szCs w:val="32"/>
        </w:rPr>
        <w:t>(三十五) 负责全县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县对外投资管理办法和具体政策。指导境外经贸园区有关工作。负责对外援助有关工作。推进全县对外投资和经济合作促进工作。</w:t>
      </w:r>
    </w:p>
    <w:p>
      <w:pPr>
        <w:pStyle w:val="14"/>
        <w:rPr>
          <w:rFonts w:ascii="仿宋" w:hAnsi="仿宋" w:eastAsia="仿宋" w:cs="仿宋"/>
          <w:sz w:val="32"/>
          <w:szCs w:val="32"/>
        </w:rPr>
      </w:pPr>
      <w:r>
        <w:rPr>
          <w:rFonts w:hint="eastAsia" w:ascii="仿宋" w:hAnsi="仿宋" w:eastAsia="仿宋" w:cs="仿宋"/>
          <w:sz w:val="32"/>
          <w:szCs w:val="32"/>
        </w:rPr>
        <w:t>(三十六) 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县相关产业的影响。建立产业安全预警机制。</w:t>
      </w:r>
    </w:p>
    <w:p>
      <w:pPr>
        <w:pStyle w:val="14"/>
        <w:rPr>
          <w:rFonts w:ascii="仿宋" w:hAnsi="仿宋" w:eastAsia="仿宋" w:cs="仿宋"/>
          <w:sz w:val="32"/>
          <w:szCs w:val="32"/>
        </w:rPr>
      </w:pPr>
      <w:r>
        <w:rPr>
          <w:rFonts w:hint="eastAsia" w:ascii="仿宋" w:hAnsi="仿宋" w:eastAsia="仿宋" w:cs="仿宋"/>
          <w:sz w:val="32"/>
          <w:szCs w:val="32"/>
        </w:rPr>
        <w:t>(三十七) 负责全县商务系统涉及世贸组织相关事务的研究、指导和服务工作，配合上级商务部门解决世贸组织框架下涉及我县的贸易争端，负责推进我县进出口贸易的标准化建设。</w:t>
      </w:r>
    </w:p>
    <w:p>
      <w:pPr>
        <w:pStyle w:val="14"/>
        <w:rPr>
          <w:rFonts w:ascii="仿宋" w:hAnsi="仿宋" w:eastAsia="仿宋" w:cs="仿宋"/>
          <w:sz w:val="32"/>
          <w:szCs w:val="32"/>
        </w:rPr>
      </w:pPr>
      <w:r>
        <w:rPr>
          <w:rFonts w:hint="eastAsia" w:ascii="仿宋" w:hAnsi="仿宋" w:eastAsia="仿宋" w:cs="仿宋"/>
          <w:sz w:val="32"/>
          <w:szCs w:val="32"/>
        </w:rPr>
        <w:t>(三十八) 贯彻执行国家制定的对自由贸易区国家和地区的经贸规划、政策，并组织实施，管理联合国及其他国际组织或外国政府对我县经济技术合作方面的无偿援助及赠款等发展合作业务。</w:t>
      </w:r>
    </w:p>
    <w:p>
      <w:pPr>
        <w:pStyle w:val="14"/>
        <w:rPr>
          <w:rFonts w:ascii="仿宋" w:hAnsi="仿宋" w:eastAsia="仿宋" w:cs="仿宋"/>
          <w:sz w:val="32"/>
          <w:szCs w:val="32"/>
        </w:rPr>
      </w:pPr>
      <w:r>
        <w:rPr>
          <w:rFonts w:hint="eastAsia" w:ascii="仿宋" w:hAnsi="仿宋" w:eastAsia="仿宋" w:cs="仿宋"/>
          <w:sz w:val="32"/>
          <w:szCs w:val="32"/>
        </w:rPr>
        <w:t>(三十九) 负责全县会展业促进与管理工作，组织参与境内外对外经济技术展览会和赴境外非商业性办展活动。</w:t>
      </w:r>
    </w:p>
    <w:p>
      <w:pPr>
        <w:pStyle w:val="14"/>
        <w:rPr>
          <w:rFonts w:ascii="仿宋" w:hAnsi="仿宋" w:eastAsia="仿宋" w:cs="仿宋"/>
          <w:sz w:val="32"/>
          <w:szCs w:val="32"/>
        </w:rPr>
      </w:pPr>
      <w:r>
        <w:rPr>
          <w:rFonts w:hint="eastAsia" w:ascii="仿宋" w:hAnsi="仿宋" w:eastAsia="仿宋" w:cs="仿宋"/>
          <w:sz w:val="32"/>
          <w:szCs w:val="32"/>
        </w:rPr>
        <w:t>(四十) 监测分析全县商务运行情况，承担全县商务系统对外宣传和信息发布工作。</w:t>
      </w:r>
    </w:p>
    <w:p>
      <w:pPr>
        <w:pStyle w:val="14"/>
        <w:rPr>
          <w:rFonts w:ascii="仿宋" w:hAnsi="仿宋" w:eastAsia="仿宋" w:cs="仿宋"/>
          <w:sz w:val="32"/>
          <w:szCs w:val="32"/>
        </w:rPr>
      </w:pPr>
      <w:r>
        <w:rPr>
          <w:rFonts w:hint="eastAsia" w:ascii="仿宋" w:hAnsi="仿宋" w:eastAsia="仿宋" w:cs="仿宋"/>
          <w:sz w:val="32"/>
          <w:szCs w:val="32"/>
        </w:rPr>
        <w:t>(四十一)统筹推进全县创新体系建设和科技体制改革，会同有关部门健全技术创新激励机制。优化科研体系建设，指导科研机构改革发展，推动企业科技创新能力建设，承担推进科技军民融合发展相关工作，推进县重大科技决策咨询制度建设。</w:t>
      </w:r>
    </w:p>
    <w:p>
      <w:pPr>
        <w:pStyle w:val="14"/>
        <w:rPr>
          <w:rFonts w:ascii="仿宋" w:hAnsi="仿宋" w:eastAsia="仿宋" w:cs="仿宋"/>
          <w:sz w:val="32"/>
          <w:szCs w:val="32"/>
        </w:rPr>
      </w:pPr>
      <w:r>
        <w:rPr>
          <w:rFonts w:hint="eastAsia" w:ascii="仿宋" w:hAnsi="仿宋" w:eastAsia="仿宋" w:cs="仿宋"/>
          <w:sz w:val="32"/>
          <w:szCs w:val="32"/>
        </w:rPr>
        <w:t>(四十二)牵头建立统一的县级科技管理平台和科研项目资金协调、评估、监管机制。会同有关部门提出优化配置科技资源的政策措施建议，推动多元化科技投入体系建设，协调管理县级财政科技计划（专项、基金等）并监督实施。</w:t>
      </w:r>
    </w:p>
    <w:p>
      <w:pPr>
        <w:pStyle w:val="14"/>
        <w:rPr>
          <w:rFonts w:ascii="仿宋" w:hAnsi="仿宋" w:eastAsia="仿宋" w:cs="仿宋"/>
          <w:sz w:val="32"/>
          <w:szCs w:val="32"/>
        </w:rPr>
      </w:pPr>
      <w:r>
        <w:rPr>
          <w:rFonts w:hint="eastAsia" w:ascii="仿宋" w:hAnsi="仿宋" w:eastAsia="仿宋" w:cs="仿宋"/>
          <w:sz w:val="32"/>
          <w:szCs w:val="32"/>
        </w:rPr>
        <w:t>(四十三)拟订重大科技创新基地建设规划并监督实施，推动科研条件保障、科技平台建设和科技资源开放共享。拟定基础研究规划、政策并组织实施，组织协调县重大基础研究和应用基础研究。组织推荐省自然科学基金项目。</w:t>
      </w:r>
    </w:p>
    <w:p>
      <w:pPr>
        <w:pStyle w:val="14"/>
        <w:rPr>
          <w:rFonts w:ascii="仿宋" w:hAnsi="仿宋" w:eastAsia="仿宋" w:cs="仿宋"/>
          <w:sz w:val="32"/>
          <w:szCs w:val="32"/>
        </w:rPr>
      </w:pPr>
      <w:r>
        <w:rPr>
          <w:rFonts w:hint="eastAsia" w:ascii="仿宋" w:hAnsi="仿宋" w:eastAsia="仿宋" w:cs="仿宋"/>
          <w:sz w:val="32"/>
          <w:szCs w:val="32"/>
        </w:rPr>
        <w:t>（四十四）编制县重大科技项目规划并监督实施，统筹关键共性技术、前沿引领技术、现代工程技术、颠覆性技术研发和创新，牵头组织重大技术攻关和成果应用示范。</w:t>
      </w:r>
    </w:p>
    <w:p>
      <w:pPr>
        <w:pStyle w:val="14"/>
        <w:rPr>
          <w:rFonts w:ascii="仿宋" w:hAnsi="仿宋" w:eastAsia="仿宋" w:cs="仿宋"/>
          <w:sz w:val="32"/>
          <w:szCs w:val="32"/>
        </w:rPr>
      </w:pPr>
      <w:r>
        <w:rPr>
          <w:rFonts w:hint="eastAsia" w:ascii="仿宋" w:hAnsi="仿宋" w:eastAsia="仿宋" w:cs="仿宋"/>
          <w:sz w:val="32"/>
          <w:szCs w:val="32"/>
        </w:rPr>
        <w:t>（四十五）组织拟订高新技术发展及产业化、科技促进农业农村和社会发展的规划、政策和措施。组织开展重点领域技术发展需求分析，提出重大任务并监督实施。指导县内高新技术产业开发区、农业科技园区等科技园区建设。</w:t>
      </w:r>
    </w:p>
    <w:p>
      <w:pPr>
        <w:pStyle w:val="14"/>
        <w:rPr>
          <w:rFonts w:ascii="仿宋" w:hAnsi="仿宋" w:eastAsia="仿宋" w:cs="仿宋"/>
          <w:sz w:val="32"/>
          <w:szCs w:val="32"/>
        </w:rPr>
      </w:pPr>
      <w:r>
        <w:rPr>
          <w:rFonts w:hint="eastAsia" w:ascii="仿宋" w:hAnsi="仿宋" w:eastAsia="仿宋" w:cs="仿宋"/>
          <w:sz w:val="32"/>
          <w:szCs w:val="32"/>
        </w:rPr>
        <w:t>（四十六）牵头技术转移体系建设，拟订科技成果转移转化和促进产学研结合的相关政策措施并监督实施。指导科技服务业、技术市场和科技中介组织发展。</w:t>
      </w:r>
    </w:p>
    <w:p>
      <w:pPr>
        <w:pStyle w:val="14"/>
        <w:rPr>
          <w:rFonts w:ascii="仿宋" w:hAnsi="仿宋" w:eastAsia="仿宋" w:cs="仿宋"/>
          <w:sz w:val="32"/>
          <w:szCs w:val="32"/>
        </w:rPr>
      </w:pPr>
      <w:r>
        <w:rPr>
          <w:rFonts w:hint="eastAsia" w:ascii="仿宋" w:hAnsi="仿宋" w:eastAsia="仿宋" w:cs="仿宋"/>
          <w:sz w:val="32"/>
          <w:szCs w:val="32"/>
        </w:rPr>
        <w:t>（四十七）统筹区域科技创新体系建设，指导区域创新发展、科技资源合理布局和协同创新能力建设。</w:t>
      </w:r>
    </w:p>
    <w:p>
      <w:pPr>
        <w:pStyle w:val="14"/>
        <w:rPr>
          <w:rFonts w:ascii="仿宋" w:hAnsi="仿宋" w:eastAsia="仿宋" w:cs="仿宋"/>
          <w:sz w:val="32"/>
          <w:szCs w:val="32"/>
        </w:rPr>
      </w:pPr>
      <w:r>
        <w:rPr>
          <w:rFonts w:hint="eastAsia" w:ascii="仿宋" w:hAnsi="仿宋" w:eastAsia="仿宋" w:cs="仿宋"/>
          <w:sz w:val="32"/>
          <w:szCs w:val="32"/>
        </w:rPr>
        <w:t>（四十八）负责科技监督评价体系建设和相关科技评估管理，指导科技评价机制改革，统筹科研诚信建设。组织实施创新调查和科技报告制度，指导全县科技保密工作。</w:t>
      </w:r>
    </w:p>
    <w:p>
      <w:pPr>
        <w:pStyle w:val="14"/>
        <w:rPr>
          <w:rFonts w:ascii="仿宋" w:hAnsi="仿宋" w:eastAsia="仿宋" w:cs="仿宋"/>
          <w:sz w:val="32"/>
          <w:szCs w:val="32"/>
        </w:rPr>
      </w:pPr>
      <w:r>
        <w:rPr>
          <w:rFonts w:hint="eastAsia" w:ascii="仿宋" w:hAnsi="仿宋" w:eastAsia="仿宋" w:cs="仿宋"/>
          <w:sz w:val="32"/>
          <w:szCs w:val="32"/>
        </w:rPr>
        <w:t>（四十九）拟订与域外科技合作和创新能力开放合作的规划、政策和措施，组织开展与域外科技合作交流。指导相关部门和县内高新技术产业开发区、农业科技园区对外科技合作交流工作，组织科技援外相关事宜。</w:t>
      </w:r>
    </w:p>
    <w:p>
      <w:pPr>
        <w:pStyle w:val="14"/>
        <w:rPr>
          <w:rFonts w:ascii="仿宋" w:hAnsi="仿宋" w:eastAsia="仿宋" w:cs="仿宋"/>
          <w:sz w:val="32"/>
          <w:szCs w:val="32"/>
        </w:rPr>
      </w:pPr>
      <w:r>
        <w:rPr>
          <w:rFonts w:hint="eastAsia" w:ascii="仿宋" w:hAnsi="仿宋" w:eastAsia="仿宋" w:cs="仿宋"/>
          <w:sz w:val="32"/>
          <w:szCs w:val="32"/>
        </w:rPr>
        <w:t>（五十）负责引进国外智力工作。拟订县重点引进外国专家总体规划、计划并组织实施，建立外国高层次人才吸引集聚机制和重点外国专家联系服务机制。拟订出国（境）培训总体规划、政策和年度计划并监督实施。</w:t>
      </w:r>
    </w:p>
    <w:p>
      <w:pPr>
        <w:pStyle w:val="14"/>
        <w:rPr>
          <w:rFonts w:ascii="仿宋" w:hAnsi="仿宋" w:eastAsia="仿宋" w:cs="仿宋"/>
          <w:sz w:val="32"/>
          <w:szCs w:val="32"/>
        </w:rPr>
      </w:pPr>
      <w:r>
        <w:rPr>
          <w:rFonts w:hint="eastAsia" w:ascii="仿宋" w:hAnsi="仿宋" w:eastAsia="仿宋" w:cs="仿宋"/>
          <w:sz w:val="32"/>
          <w:szCs w:val="32"/>
        </w:rPr>
        <w:t>（五十一）会同有关部门拟订科技人才队伍建设规划和政策，建立健全科技人才评价和激励机制，组织实施科技人才计划，推动高端科技创新人才队伍建设。</w:t>
      </w:r>
    </w:p>
    <w:p>
      <w:pPr>
        <w:pStyle w:val="14"/>
        <w:rPr>
          <w:rFonts w:ascii="仿宋" w:hAnsi="仿宋" w:eastAsia="仿宋" w:cs="仿宋"/>
          <w:sz w:val="32"/>
          <w:szCs w:val="32"/>
        </w:rPr>
      </w:pPr>
      <w:r>
        <w:rPr>
          <w:rFonts w:hint="eastAsia" w:ascii="仿宋" w:hAnsi="仿宋" w:eastAsia="仿宋" w:cs="仿宋"/>
          <w:sz w:val="32"/>
          <w:szCs w:val="32"/>
        </w:rPr>
        <w:t>（五十二）承担省科学技术奖、燕赵友谊奖的申报组织工作。</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（二）分项绩效目标</w:t>
      </w:r>
    </w:p>
    <w:p>
      <w:pPr>
        <w:pStyle w:val="15"/>
        <w:rPr>
          <w:rFonts w:ascii="仿宋" w:hAnsi="仿宋" w:eastAsia="仿宋" w:cs="仿宋"/>
          <w:sz w:val="32"/>
          <w:szCs w:val="32"/>
        </w:rPr>
      </w:pPr>
      <w:r>
        <w:rPr>
          <w:rFonts w:hint="eastAsia" w:ascii="仿宋" w:hAnsi="仿宋" w:eastAsia="仿宋" w:cs="仿宋"/>
          <w:sz w:val="32"/>
          <w:szCs w:val="32"/>
        </w:rPr>
        <w:t>1.通过检验检测储备粮4000吨，维护粮食市场稳定，有效发挥县级储备粮在宏观调控中的作用。</w:t>
      </w:r>
    </w:p>
    <w:p>
      <w:pPr>
        <w:pStyle w:val="15"/>
        <w:rPr>
          <w:rFonts w:ascii="仿宋" w:hAnsi="仿宋" w:eastAsia="仿宋" w:cs="仿宋"/>
          <w:sz w:val="32"/>
          <w:szCs w:val="32"/>
        </w:rPr>
      </w:pPr>
      <w:r>
        <w:rPr>
          <w:rFonts w:hint="eastAsia" w:ascii="仿宋" w:hAnsi="仿宋" w:eastAsia="仿宋" w:cs="仿宋"/>
          <w:sz w:val="32"/>
          <w:szCs w:val="32"/>
        </w:rPr>
        <w:t>2.通过对1000吨的储备粮轮换，保障储备粮质量，维护粮食市场稳定，有效发挥县级储备粮在宏观调控中的作用。</w:t>
      </w:r>
    </w:p>
    <w:p>
      <w:pPr>
        <w:pStyle w:val="15"/>
        <w:rPr>
          <w:rFonts w:ascii="仿宋" w:hAnsi="仿宋" w:eastAsia="仿宋" w:cs="仿宋"/>
          <w:sz w:val="32"/>
          <w:szCs w:val="32"/>
        </w:rPr>
      </w:pPr>
      <w:r>
        <w:rPr>
          <w:rFonts w:hint="eastAsia" w:ascii="仿宋" w:hAnsi="仿宋" w:eastAsia="仿宋" w:cs="仿宋"/>
          <w:sz w:val="32"/>
          <w:szCs w:val="32"/>
        </w:rPr>
        <w:t>3.对纪检监察、司法、行政工作中涉及的价格不明或价格有争议的，实行市场调节价的建筑、市政工程及园林绿化工程的造价，通过聘请、咨询相关技术专家进行价格确认。保障价格认定结论的公正性、客观性、科学性。</w:t>
      </w:r>
    </w:p>
    <w:p>
      <w:pPr>
        <w:pStyle w:val="15"/>
        <w:rPr>
          <w:rFonts w:ascii="仿宋" w:hAnsi="仿宋" w:eastAsia="仿宋" w:cs="仿宋"/>
          <w:sz w:val="32"/>
          <w:szCs w:val="32"/>
        </w:rPr>
      </w:pPr>
      <w:r>
        <w:rPr>
          <w:rFonts w:hint="eastAsia" w:ascii="仿宋" w:hAnsi="仿宋" w:eastAsia="仿宋" w:cs="仿宋"/>
          <w:sz w:val="32"/>
          <w:szCs w:val="32"/>
        </w:rPr>
        <w:t>4.通过对100吨食盐管理，保证17万居民食盐供应，保障社会稳定。</w:t>
      </w:r>
    </w:p>
    <w:p>
      <w:pPr>
        <w:pStyle w:val="15"/>
        <w:rPr>
          <w:rFonts w:ascii="仿宋" w:hAnsi="仿宋" w:eastAsia="仿宋" w:cs="仿宋"/>
          <w:sz w:val="32"/>
          <w:szCs w:val="32"/>
        </w:rPr>
      </w:pPr>
      <w:r>
        <w:rPr>
          <w:rFonts w:hint="eastAsia" w:ascii="仿宋" w:hAnsi="仿宋" w:eastAsia="仿宋" w:cs="仿宋"/>
          <w:sz w:val="32"/>
          <w:szCs w:val="32"/>
        </w:rPr>
        <w:t>5.用于购买办公设备、办公用品等，保障协同发展服务中心正常运转。</w:t>
      </w:r>
    </w:p>
    <w:p>
      <w:pPr>
        <w:pStyle w:val="15"/>
        <w:rPr>
          <w:rFonts w:ascii="仿宋" w:hAnsi="仿宋" w:eastAsia="仿宋" w:cs="仿宋"/>
          <w:sz w:val="32"/>
          <w:szCs w:val="32"/>
        </w:rPr>
      </w:pPr>
      <w:r>
        <w:rPr>
          <w:rFonts w:hint="eastAsia" w:ascii="仿宋" w:hAnsi="仿宋" w:eastAsia="仿宋" w:cs="仿宋"/>
          <w:sz w:val="32"/>
          <w:szCs w:val="32"/>
        </w:rPr>
        <w:t>6.化解信访隐患，保障破产企业重度伤残职工工伤保险待遇。</w:t>
      </w:r>
    </w:p>
    <w:p>
      <w:pPr>
        <w:pStyle w:val="15"/>
        <w:rPr>
          <w:rFonts w:ascii="仿宋" w:hAnsi="仿宋" w:eastAsia="仿宋" w:cs="仿宋"/>
          <w:sz w:val="32"/>
          <w:szCs w:val="32"/>
        </w:rPr>
      </w:pPr>
      <w:r>
        <w:rPr>
          <w:rFonts w:hint="eastAsia" w:ascii="仿宋" w:hAnsi="仿宋" w:eastAsia="仿宋" w:cs="仿宋"/>
          <w:sz w:val="32"/>
          <w:szCs w:val="32"/>
        </w:rPr>
        <w:t>7.用于聘请就第三方机构开展大厂和通州区“四个统一”实证研究。</w:t>
      </w:r>
    </w:p>
    <w:p>
      <w:pPr>
        <w:pStyle w:val="15"/>
        <w:rPr>
          <w:rFonts w:ascii="仿宋" w:hAnsi="仿宋" w:eastAsia="仿宋" w:cs="仿宋"/>
          <w:sz w:val="32"/>
          <w:szCs w:val="32"/>
        </w:rPr>
      </w:pPr>
      <w:r>
        <w:rPr>
          <w:rFonts w:hint="eastAsia" w:ascii="仿宋" w:hAnsi="仿宋" w:eastAsia="仿宋" w:cs="仿宋"/>
          <w:sz w:val="32"/>
          <w:szCs w:val="32"/>
        </w:rPr>
        <w:t>8.通过购置公务用车1台，保障工作正常开展，提高工作效率。</w:t>
      </w:r>
    </w:p>
    <w:p>
      <w:pPr>
        <w:pStyle w:val="15"/>
        <w:rPr>
          <w:rFonts w:ascii="仿宋" w:hAnsi="仿宋" w:eastAsia="仿宋" w:cs="仿宋"/>
          <w:sz w:val="32"/>
          <w:szCs w:val="32"/>
        </w:rPr>
      </w:pPr>
      <w:r>
        <w:rPr>
          <w:rFonts w:hint="eastAsia" w:ascii="仿宋" w:hAnsi="仿宋" w:eastAsia="仿宋" w:cs="仿宋"/>
          <w:sz w:val="32"/>
          <w:szCs w:val="32"/>
        </w:rPr>
        <w:t>9.依据廊坊市政府奖励政策对不少于30个符合奖励标准的高新技术企业，科技型中小企业、众创空间、孵化器、科技进步、研发平台、省市成果转化项目等给予县级配套奖励资金，支持县域高新技术企业发展。</w:t>
      </w:r>
    </w:p>
    <w:p>
      <w:pPr>
        <w:pStyle w:val="15"/>
        <w:rPr>
          <w:rFonts w:ascii="仿宋" w:hAnsi="仿宋" w:eastAsia="仿宋" w:cs="仿宋"/>
          <w:sz w:val="32"/>
          <w:szCs w:val="32"/>
        </w:rPr>
      </w:pPr>
      <w:r>
        <w:rPr>
          <w:rFonts w:hint="eastAsia" w:ascii="仿宋" w:hAnsi="仿宋" w:eastAsia="仿宋" w:cs="仿宋"/>
          <w:sz w:val="32"/>
          <w:szCs w:val="32"/>
        </w:rPr>
        <w:t>10.通过对2022年度用于粮食系统改制后，现有的89名等、内退职工工资、养老保险、医疗保险、抚恤金和节日慰问的发放，保障职工权益，巩固改制成果，保持社会稳定</w:t>
      </w:r>
    </w:p>
    <w:p>
      <w:pPr>
        <w:pStyle w:val="15"/>
        <w:rPr>
          <w:rFonts w:ascii="仿宋" w:hAnsi="仿宋" w:eastAsia="仿宋" w:cs="仿宋"/>
          <w:sz w:val="32"/>
          <w:szCs w:val="32"/>
        </w:rPr>
      </w:pPr>
      <w:r>
        <w:rPr>
          <w:rFonts w:hint="eastAsia" w:ascii="仿宋" w:hAnsi="仿宋" w:eastAsia="仿宋" w:cs="仿宋"/>
          <w:sz w:val="32"/>
          <w:szCs w:val="32"/>
        </w:rPr>
        <w:t>11.通过举办不少于5次上午展会，承接北京非首都核心功能转移，吸引一批符合区域发展的高端高新产业落户大厂。</w:t>
      </w:r>
    </w:p>
    <w:p>
      <w:pPr>
        <w:pStyle w:val="15"/>
        <w:rPr>
          <w:rFonts w:ascii="仿宋" w:hAnsi="仿宋" w:eastAsia="仿宋" w:cs="仿宋"/>
          <w:sz w:val="32"/>
          <w:szCs w:val="32"/>
        </w:rPr>
      </w:pPr>
      <w:r>
        <w:rPr>
          <w:rFonts w:hint="eastAsia" w:ascii="仿宋" w:hAnsi="仿宋" w:eastAsia="仿宋" w:cs="仿宋"/>
          <w:sz w:val="32"/>
          <w:szCs w:val="32"/>
        </w:rPr>
        <w:t>12.通过项目的开展完成直属库改制工作，实现直属库由全民所有制改为公司制。</w:t>
      </w:r>
    </w:p>
    <w:p>
      <w:pPr>
        <w:pStyle w:val="15"/>
        <w:rPr>
          <w:rFonts w:ascii="仿宋" w:hAnsi="仿宋" w:eastAsia="仿宋" w:cs="仿宋"/>
          <w:sz w:val="32"/>
          <w:szCs w:val="32"/>
        </w:rPr>
      </w:pPr>
      <w:r>
        <w:rPr>
          <w:rFonts w:hint="eastAsia" w:ascii="仿宋" w:hAnsi="仿宋" w:eastAsia="仿宋" w:cs="仿宋"/>
          <w:sz w:val="32"/>
          <w:szCs w:val="32"/>
        </w:rPr>
        <w:t>13.完成京唐铁路大厂站站房规模调整增加4000平方米，便于群众出行，提升车站承载力。</w:t>
      </w:r>
    </w:p>
    <w:p>
      <w:pPr>
        <w:pStyle w:val="15"/>
        <w:rPr>
          <w:rFonts w:ascii="仿宋" w:hAnsi="仿宋" w:eastAsia="仿宋" w:cs="仿宋"/>
          <w:sz w:val="32"/>
          <w:szCs w:val="32"/>
        </w:rPr>
      </w:pPr>
      <w:r>
        <w:rPr>
          <w:rFonts w:hint="eastAsia" w:ascii="仿宋" w:hAnsi="仿宋" w:eastAsia="仿宋" w:cs="仿宋"/>
          <w:sz w:val="32"/>
          <w:szCs w:val="32"/>
        </w:rPr>
        <w:t>14.通过22个股室OA协同办公平台建设，使OA协同办公系统更加平稳运行，实现单位内部跨股室协同办公，使机关公文收发等业务电子化、网络化、规范化、统一化。</w:t>
      </w:r>
    </w:p>
    <w:p>
      <w:pPr>
        <w:pStyle w:val="15"/>
        <w:rPr>
          <w:rFonts w:ascii="仿宋" w:hAnsi="仿宋" w:eastAsia="仿宋" w:cs="仿宋"/>
          <w:sz w:val="32"/>
          <w:szCs w:val="32"/>
        </w:rPr>
      </w:pPr>
      <w:r>
        <w:rPr>
          <w:rFonts w:hint="eastAsia" w:ascii="仿宋" w:hAnsi="仿宋" w:eastAsia="仿宋" w:cs="仿宋"/>
          <w:sz w:val="32"/>
          <w:szCs w:val="32"/>
        </w:rPr>
        <w:t>15.通过对4000吨县储备粮的维护管理，维护粮食市场稳定，有效发挥县级储备粮在宏观调控中的作用。</w:t>
      </w:r>
    </w:p>
    <w:p>
      <w:pPr>
        <w:pStyle w:val="15"/>
        <w:rPr>
          <w:rFonts w:ascii="仿宋" w:hAnsi="仿宋" w:eastAsia="仿宋" w:cs="仿宋"/>
          <w:sz w:val="32"/>
          <w:szCs w:val="32"/>
        </w:rPr>
      </w:pPr>
      <w:r>
        <w:rPr>
          <w:rFonts w:hint="eastAsia" w:ascii="仿宋" w:hAnsi="仿宋" w:eastAsia="仿宋" w:cs="仿宋"/>
          <w:sz w:val="32"/>
          <w:szCs w:val="32"/>
        </w:rPr>
        <w:t>16.通过印制发放宣传资料、及执法服装的采购，保障对报废机动车行业、粮食行业、汽车销售行业、单用途商业预付卡行业的管理，实现商务及粮食、食盐领域合法经营。</w:t>
      </w:r>
    </w:p>
    <w:p>
      <w:pPr>
        <w:pStyle w:val="15"/>
        <w:rPr>
          <w:rFonts w:ascii="仿宋" w:hAnsi="仿宋" w:eastAsia="仿宋" w:cs="仿宋"/>
          <w:sz w:val="32"/>
          <w:szCs w:val="32"/>
        </w:rPr>
      </w:pPr>
      <w:r>
        <w:rPr>
          <w:rFonts w:hint="eastAsia" w:ascii="仿宋" w:hAnsi="仿宋" w:eastAsia="仿宋" w:cs="仿宋"/>
          <w:sz w:val="32"/>
          <w:szCs w:val="32"/>
        </w:rPr>
        <w:t>17.在企业保障天然气迎峰度冬期间，企业购买LNG、CNG情况进行核查。</w:t>
      </w:r>
    </w:p>
    <w:p>
      <w:pPr>
        <w:pStyle w:val="15"/>
        <w:rPr>
          <w:rFonts w:ascii="仿宋" w:hAnsi="仿宋" w:eastAsia="仿宋" w:cs="仿宋"/>
          <w:sz w:val="32"/>
          <w:szCs w:val="32"/>
        </w:rPr>
      </w:pPr>
      <w:r>
        <w:rPr>
          <w:rFonts w:hint="eastAsia" w:ascii="仿宋" w:hAnsi="仿宋" w:eastAsia="仿宋" w:cs="仿宋"/>
          <w:sz w:val="32"/>
          <w:szCs w:val="32"/>
        </w:rPr>
        <w:t>18.通过购买LNG、CNG，保障天然气迎峰度冬形式总体平稳，确保人民群众生活等重点用气需求。</w:t>
      </w:r>
    </w:p>
    <w:p>
      <w:pPr>
        <w:pStyle w:val="15"/>
        <w:rPr>
          <w:rFonts w:ascii="仿宋" w:hAnsi="仿宋" w:eastAsia="仿宋" w:cs="仿宋"/>
          <w:sz w:val="32"/>
          <w:szCs w:val="32"/>
        </w:rPr>
      </w:pPr>
      <w:r>
        <w:rPr>
          <w:rFonts w:hint="eastAsia" w:ascii="仿宋" w:hAnsi="仿宋" w:eastAsia="仿宋" w:cs="仿宋"/>
          <w:sz w:val="32"/>
          <w:szCs w:val="32"/>
        </w:rPr>
        <w:t>19.通过对企业的安全生产巡回指导，提高企业的安全生产认识，帮助企业完善安全生产机制。</w:t>
      </w:r>
    </w:p>
    <w:p>
      <w:pPr>
        <w:pStyle w:val="15"/>
        <w:rPr>
          <w:rFonts w:ascii="仿宋" w:hAnsi="仿宋" w:eastAsia="仿宋" w:cs="仿宋"/>
          <w:sz w:val="32"/>
          <w:szCs w:val="32"/>
        </w:rPr>
      </w:pPr>
      <w:r>
        <w:rPr>
          <w:rFonts w:hint="eastAsia" w:ascii="仿宋" w:hAnsi="仿宋" w:eastAsia="仿宋" w:cs="仿宋"/>
          <w:sz w:val="32"/>
          <w:szCs w:val="32"/>
        </w:rPr>
        <w:t>20.通过项目的开展完成2022年度15家中小企业专项资金奖补发放，促进中小企业发展。</w:t>
      </w:r>
    </w:p>
    <w:p>
      <w:pPr>
        <w:pStyle w:val="15"/>
        <w:rPr>
          <w:rFonts w:ascii="仿宋" w:hAnsi="仿宋" w:eastAsia="仿宋" w:cs="仿宋"/>
          <w:sz w:val="32"/>
          <w:szCs w:val="32"/>
        </w:rPr>
      </w:pPr>
      <w:r>
        <w:rPr>
          <w:rFonts w:hint="eastAsia" w:ascii="仿宋" w:hAnsi="仿宋" w:eastAsia="仿宋" w:cs="仿宋"/>
          <w:sz w:val="32"/>
          <w:szCs w:val="32"/>
        </w:rPr>
        <w:t>21.组织全县工业技术改造工作，推进现代产业体系建设；通过贴息、补助、股权投资等方式支持全县重点工业技术改造项目。</w:t>
      </w:r>
      <w:bookmarkStart w:id="3" w:name="_GoBack"/>
      <w:bookmarkEnd w:id="3"/>
    </w:p>
    <w:p>
      <w:pPr>
        <w:pStyle w:val="15"/>
        <w:rPr>
          <w:rFonts w:ascii="仿宋" w:hAnsi="仿宋" w:eastAsia="仿宋" w:cs="仿宋"/>
          <w:sz w:val="32"/>
          <w:szCs w:val="32"/>
        </w:rPr>
      </w:pPr>
      <w:r>
        <w:rPr>
          <w:rFonts w:hint="eastAsia" w:ascii="仿宋" w:hAnsi="仿宋" w:eastAsia="仿宋" w:cs="仿宋"/>
          <w:sz w:val="32"/>
          <w:szCs w:val="32"/>
        </w:rPr>
        <w:t>22.确保企业服务中心日常正常运营。</w:t>
      </w:r>
    </w:p>
    <w:p>
      <w:pPr>
        <w:pStyle w:val="15"/>
        <w:rPr>
          <w:rFonts w:ascii="仿宋" w:hAnsi="仿宋" w:eastAsia="仿宋" w:cs="仿宋"/>
          <w:sz w:val="32"/>
          <w:szCs w:val="32"/>
        </w:rPr>
      </w:pPr>
      <w:r>
        <w:rPr>
          <w:rFonts w:hint="eastAsia" w:ascii="仿宋" w:hAnsi="仿宋" w:eastAsia="仿宋" w:cs="仿宋"/>
          <w:sz w:val="32"/>
          <w:szCs w:val="32"/>
        </w:rPr>
        <w:t>23.通过项目实施逐渐提高民营企业家经营素质，完善中小企业服务体系建设，与国内211、985等重点院校开展合作，全年总计实施企业家培训2次，帮助县域中小企业家60人次左右。</w:t>
      </w:r>
    </w:p>
    <w:p>
      <w:pPr>
        <w:pStyle w:val="15"/>
        <w:rPr>
          <w:rFonts w:ascii="仿宋" w:hAnsi="仿宋" w:eastAsia="仿宋" w:cs="仿宋"/>
          <w:sz w:val="32"/>
          <w:szCs w:val="32"/>
        </w:rPr>
      </w:pPr>
      <w:r>
        <w:rPr>
          <w:rFonts w:hint="eastAsia" w:ascii="仿宋" w:hAnsi="仿宋" w:eastAsia="仿宋" w:cs="仿宋"/>
          <w:sz w:val="32"/>
          <w:szCs w:val="32"/>
        </w:rPr>
        <w:t>24.结合本部门档案现状，通过档案室基础设施建设、档案信息化建设，实现档案管理电子化、集约化、信息化、网络化，实现文书类档案集中管理。</w:t>
      </w:r>
    </w:p>
    <w:p>
      <w:pPr>
        <w:pStyle w:val="15"/>
        <w:rPr>
          <w:rFonts w:ascii="仿宋" w:hAnsi="仿宋" w:eastAsia="仿宋" w:cs="仿宋"/>
          <w:sz w:val="32"/>
          <w:szCs w:val="32"/>
        </w:rPr>
      </w:pPr>
      <w:r>
        <w:rPr>
          <w:rFonts w:hint="eastAsia" w:ascii="仿宋" w:hAnsi="仿宋" w:eastAsia="仿宋" w:cs="仿宋"/>
          <w:sz w:val="32"/>
          <w:szCs w:val="32"/>
        </w:rPr>
        <w:t>25.通过项目的开展，实现人防、物防、技防“三位一体”的安全防范体系，从库房安全、环境安全、实体档案安全、存储设备安全四个方案，对档案库房进行全方位、立体化的集中统一保护和管理。</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（三）工作保障措施</w:t>
      </w:r>
    </w:p>
    <w:p>
      <w:pPr>
        <w:pStyle w:val="16"/>
        <w:rPr>
          <w:rFonts w:ascii="仿宋" w:hAnsi="仿宋" w:eastAsia="仿宋" w:cs="仿宋"/>
          <w:sz w:val="32"/>
          <w:szCs w:val="32"/>
        </w:rPr>
      </w:pPr>
      <w:r>
        <w:rPr>
          <w:rFonts w:hint="eastAsia" w:ascii="仿宋" w:hAnsi="仿宋" w:eastAsia="仿宋" w:cs="仿宋"/>
          <w:sz w:val="32"/>
          <w:szCs w:val="32"/>
        </w:rPr>
        <w:t>（一）全力推进京津冀协同发展。习近平总书记审时度势、深谋远虑，亲自谋划和推动了京津冀协同发展这一重大国家战略，这是大厂当前乃至今后一个时期最大的发展机遇和动力所在，我局责无旁贷，要积极发挥综合协调作用，全面推进京津冀协同发展，重点做好以下四项工作。一是积极对接朝阳国家文化产业创新试验区。我们将充分发挥区位和生态优势，积极与朝阳区对接，争取在文化产业转移承接、政策及税收共享等方面开展合作。二是大力推进京津寞国家生态文明先行示范区建设。加强与平谷、蓟县、三河、香河等周边县市区的沟通合作，切实推动示范区创建工作取得阶段性进晨。三是强力推动京唐铁路（大厂段）建设。加强与省市发改委、京唐铁路公司、潮白河园区、祁各庄镇、邵府镇和相关部门的沟通协调，统筹推进铁路线路征地拆迁、项目建设、综合开发等各项工作，确保项目顺利推进。四是加快推进通州-大厂规划一体化。按照大厂与通州一体化、同城化的发展要求，积极配合做好规划对接、调查研究、诉求反馈等相关工作，力争早日在规划、政策、管控三方面与通州实现“三统一”。</w:t>
      </w:r>
    </w:p>
    <w:p>
      <w:pPr>
        <w:pStyle w:val="16"/>
        <w:rPr>
          <w:rFonts w:ascii="仿宋" w:hAnsi="仿宋" w:eastAsia="仿宋" w:cs="仿宋"/>
          <w:sz w:val="32"/>
          <w:szCs w:val="32"/>
        </w:rPr>
      </w:pPr>
      <w:r>
        <w:rPr>
          <w:rFonts w:hint="eastAsia" w:ascii="仿宋" w:hAnsi="仿宋" w:eastAsia="仿宋" w:cs="仿宋"/>
          <w:sz w:val="32"/>
          <w:szCs w:val="32"/>
        </w:rPr>
        <w:t>（二）全力加强项目建设。项目建设是拉动全县经济发展的重要引擎，更是撬动经济转型升级的杠杆，因此，我局要首当其冲，全力以赴搞好项目的争列、管理与服务，重点做好以下四项工作。一是切实搞好全县重大招商引资项目的服务工作。我们将紧紧围绕县委、县政府确定的人民大学“三区一基地”、出版融合发展小镇、旅游轨道交通等八个重大项目，搞好项目立项审批、争取上级政策资金支持和土地指标等各项工作。二是做好重点项目争列和项目跟踪服务。全力跑办盯办，争取更多的建设用地指标。同时，切实搞好在建项目及计划开工项目的跟踪服务，全力保障项目建设进度。三是严把项目准入关口。严格执行国家产业结构调整指导目录，落实县域产业发展规划，制定出台《大厂回族自治县新增禁止和限制类产业目录》，以提高我县项目准入门槛，提升引进项目的档次和质量。四是搞好项目谋划储备。积极谋划储备一批战略性新兴产业、现代服务业及功能配套设施类项目，确保项目建设不断档。</w:t>
      </w:r>
    </w:p>
    <w:p>
      <w:pPr>
        <w:pStyle w:val="16"/>
        <w:rPr>
          <w:rFonts w:ascii="仿宋" w:hAnsi="仿宋" w:eastAsia="仿宋" w:cs="仿宋"/>
          <w:sz w:val="32"/>
          <w:szCs w:val="32"/>
        </w:rPr>
      </w:pPr>
      <w:r>
        <w:rPr>
          <w:rFonts w:hint="eastAsia" w:ascii="仿宋" w:hAnsi="仿宋" w:eastAsia="仿宋" w:cs="仿宋"/>
          <w:sz w:val="32"/>
          <w:szCs w:val="32"/>
        </w:rPr>
        <w:t>（三）全力推动县域经济发展。我们将全面贯彻落实中央、省、市经济工作会议精神，认真研究上级有关经济工作的各项重大决策部署，加强宏观调控政策变化的前瞻性研究，强化对事关全局性重大问题的调查研究，重点搞好经济运行分析，为县委、县政府领导科学决策提供参考，力促县域经济又好又快发展。</w:t>
      </w:r>
    </w:p>
    <w:p>
      <w:pPr>
        <w:pStyle w:val="16"/>
        <w:rPr>
          <w:rFonts w:ascii="仿宋" w:hAnsi="仿宋" w:eastAsia="仿宋" w:cs="仿宋"/>
          <w:sz w:val="32"/>
          <w:szCs w:val="32"/>
        </w:rPr>
      </w:pPr>
      <w:r>
        <w:rPr>
          <w:rFonts w:hint="eastAsia" w:ascii="仿宋" w:hAnsi="仿宋" w:eastAsia="仿宋" w:cs="仿宋"/>
          <w:sz w:val="32"/>
          <w:szCs w:val="32"/>
        </w:rPr>
        <w:t>（四）全力抓好各项改革。发展和改革局要继续坚决贯彻中央和省市县决策部署，特别是，全面落实党的十九大和十九届二中、三中、四中、五中全会、省委九届十一次全会、市委六届十一次全会、县委十一届八次全会精神，准确把握新发展阶段、新发展理念、新发展格局，巩固拓展疫情防控和经济社会发展成果，继续坚持“民族团结、生态优先”总原则，坚定“北京城市副中心后花园”定位和“”全民服务副中心”发展思路，学习民山、对标通州，大干”五二一”，全面融入副中心，持续推进“四五六七八”整体工作布局，按照县委深化改革领导小组安排部署，积极配合县委深改办搞好全省综合改革试点创建工作；加强与经济体制改革领导小组成员单位的沟通联系，全力推进全县经济体制改革，力争在财税体制、民营经济等关键领域，出经验、做样板，率先在全省推广；同时，扎实做好扩权强县改革贯彻落实工作。</w:t>
      </w:r>
    </w:p>
    <w:p>
      <w:pPr>
        <w:pStyle w:val="16"/>
        <w:rPr>
          <w:rFonts w:ascii="仿宋" w:hAnsi="仿宋" w:eastAsia="仿宋" w:cs="仿宋"/>
          <w:sz w:val="32"/>
          <w:szCs w:val="32"/>
        </w:rPr>
      </w:pPr>
      <w:r>
        <w:rPr>
          <w:rFonts w:hint="eastAsia" w:ascii="仿宋" w:hAnsi="仿宋" w:eastAsia="仿宋" w:cs="仿宋"/>
          <w:sz w:val="32"/>
          <w:szCs w:val="32"/>
        </w:rPr>
        <w:t>（五）全力加强部门队伍建设。我局将以县党代会精神统一思想，凝聚合力，以建一流队伍，创一流业绩，树一流形象为目标，以服务全县经济社会发展为己任，切实增强全局人员“十二种意识”，从而实现严明工作纪律，转变工作作风，提升工作效能，提高服务质量，塑造良好形象，努力打造一支想干事、能干事、会干事、干成事，结构合理、素质优良的发改队伍。</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10"/>
        <w:tblpPr w:leftFromText="180" w:rightFromText="180" w:vertAnchor="text" w:horzAnchor="page" w:tblpX="945" w:tblpY="737"/>
        <w:tblOverlap w:val="never"/>
        <w:tblW w:w="14508" w:type="dxa"/>
        <w:tblInd w:w="0" w:type="dxa"/>
        <w:tblLayout w:type="fixed"/>
        <w:tblCellMar>
          <w:top w:w="0" w:type="dxa"/>
          <w:left w:w="0" w:type="dxa"/>
          <w:bottom w:w="0" w:type="dxa"/>
          <w:right w:w="0" w:type="dxa"/>
        </w:tblCellMar>
      </w:tblPr>
      <w:tblGrid>
        <w:gridCol w:w="1176"/>
        <w:gridCol w:w="936"/>
        <w:gridCol w:w="2472"/>
        <w:gridCol w:w="2592"/>
        <w:gridCol w:w="3096"/>
        <w:gridCol w:w="912"/>
        <w:gridCol w:w="816"/>
        <w:gridCol w:w="1068"/>
        <w:gridCol w:w="1440"/>
      </w:tblGrid>
      <w:tr>
        <w:tblPrEx>
          <w:tblCellMar>
            <w:top w:w="0" w:type="dxa"/>
            <w:left w:w="0" w:type="dxa"/>
            <w:bottom w:w="0" w:type="dxa"/>
            <w:right w:w="0" w:type="dxa"/>
          </w:tblCellMar>
        </w:tblPrEx>
        <w:trPr>
          <w:trHeight w:val="375"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24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绩效指标描述</w:t>
            </w:r>
          </w:p>
        </w:tc>
        <w:tc>
          <w:tcPr>
            <w:tcW w:w="309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评（扣）分标准</w:t>
            </w:r>
          </w:p>
        </w:tc>
        <w:tc>
          <w:tcPr>
            <w:tcW w:w="27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指标值确定依据</w:t>
            </w:r>
          </w:p>
        </w:tc>
      </w:tr>
      <w:tr>
        <w:tblPrEx>
          <w:tblCellMar>
            <w:top w:w="0" w:type="dxa"/>
            <w:left w:w="0" w:type="dxa"/>
            <w:bottom w:w="0" w:type="dxa"/>
            <w:right w:w="0" w:type="dxa"/>
          </w:tblCellMar>
        </w:tblPrEx>
        <w:trPr>
          <w:trHeight w:val="375"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24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18"/>
                <w:szCs w:val="18"/>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18"/>
                <w:szCs w:val="18"/>
              </w:rPr>
            </w:pPr>
          </w:p>
        </w:tc>
        <w:tc>
          <w:tcPr>
            <w:tcW w:w="309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符号</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值</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单位（文字描述）</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740"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产出指标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为企业提供全方位服务</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组织县域企业参加各类交流学习会</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达标得满分，不达标不得分</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工作计划</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新增限额以上商贸企业数量</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对培育企业及时跟进和指导，加强与属地、税务、统计等部门密切协调，推动符合条件且有持续发展后劲的企业及时入统，完成全年目标任务。 </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工作计划</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入企调研数量</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2022年入企调研数量</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工作计划</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组织召开招商推荐会</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组织召开招商推荐会</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工作计划</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为企业提供申报服务次数</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为企业提供项目申报、转贷资金申报等次数</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30.00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次</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工作计划</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整改提升污染企业数量</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我局牵头整改提升散乱污染企业数量</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统计年报</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提升科技企业孵化器和众创空间质量</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提升科技企业孵化器和众创空间质量</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74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各项绩效指标完成时间</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各项绩效指标完成时间</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2022.00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740"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效益指标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培育规上工业企业</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新增产值超2000万元企业7家以上</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统计年报</w:t>
            </w:r>
          </w:p>
        </w:tc>
      </w:tr>
      <w:tr>
        <w:tblPrEx>
          <w:tblCellMar>
            <w:top w:w="0" w:type="dxa"/>
            <w:left w:w="0" w:type="dxa"/>
            <w:bottom w:w="0" w:type="dxa"/>
            <w:right w:w="0" w:type="dxa"/>
          </w:tblCellMar>
        </w:tblPrEx>
        <w:trPr>
          <w:trHeight w:val="96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起草《2021年国民经济和社会发展计划执行情况与2022年国民经济和社会发展计划（草案）的报告》</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起草《2021年国民经济和社会发展计划执行情况与2022年国民经济和社会发展计划（草案）的报告》提交县人大、政协两会审议</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2022.00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62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积极组织县域内商贸流通龙头企业开展品牌优惠促销活动</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积极组织县域内商贸流通龙头企业开展品牌优惠促销活动，加大商贸流通业奖励扶持力度</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62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完成入企安全生产巡回指导和宣传教育工作</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完成入企安全生产巡回指导和宣传教育工作</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50.00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62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研究制定我县与通州区一体化高质量发展的实施方案</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研究制定我县《大厂回族自治县加快推进与通州区一体化高质量发展实施方案》</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2022.00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年</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62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粮食增储计划指标落地落实</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确保区域粮食安全保障基础得到进一步夯实</w:t>
            </w:r>
          </w:p>
        </w:tc>
        <w:tc>
          <w:tcPr>
            <w:tcW w:w="30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实际值达到指标值得满分，每降低10%，扣权重分的30%，扣完为止。</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2000.00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吨</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工作总结</w:t>
            </w:r>
          </w:p>
        </w:tc>
      </w:tr>
      <w:tr>
        <w:tblPrEx>
          <w:tblCellMar>
            <w:top w:w="0" w:type="dxa"/>
            <w:left w:w="0" w:type="dxa"/>
            <w:bottom w:w="0" w:type="dxa"/>
            <w:right w:w="0" w:type="dxa"/>
          </w:tblCellMar>
        </w:tblPrEx>
        <w:trPr>
          <w:trHeight w:val="620"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企业满意度</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企业满意度</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达标得满分，不达标不得分</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问卷调查</w:t>
            </w:r>
          </w:p>
        </w:tc>
      </w:tr>
      <w:tr>
        <w:tblPrEx>
          <w:tblCellMar>
            <w:top w:w="0" w:type="dxa"/>
            <w:left w:w="0" w:type="dxa"/>
            <w:bottom w:w="0" w:type="dxa"/>
            <w:right w:w="0" w:type="dxa"/>
          </w:tblCellMar>
        </w:tblPrEx>
        <w:trPr>
          <w:trHeight w:val="62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cs="宋体"/>
                <w:b/>
                <w:color w:val="00000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服务对象满意度指标</w:t>
            </w:r>
          </w:p>
        </w:tc>
        <w:tc>
          <w:tcPr>
            <w:tcW w:w="24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干部职工满意度</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干部职工满意度</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达标得满分，不达标不得分</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问卷调查</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hint="eastAsia" w:ascii="仿宋" w:hAnsi="仿宋" w:eastAsia="仿宋" w:cs="Times New Roman"/>
          <w:sz w:val="28"/>
        </w:rPr>
        <w:t>2022年储备粮管理经费</w:t>
      </w:r>
      <w:r>
        <w:rPr>
          <w:rFonts w:ascii="仿宋" w:hAnsi="仿宋" w:eastAsia="仿宋" w:cs="Times New Roman"/>
          <w:sz w:val="28"/>
        </w:rPr>
        <w:t>绩效目标表</w:t>
      </w:r>
      <w:bookmarkStart w:id="0" w:name="_Toc29799657"/>
      <w:bookmarkEnd w:id="0"/>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34"/>
        <w:gridCol w:w="1944"/>
        <w:gridCol w:w="2352"/>
        <w:gridCol w:w="900"/>
        <w:gridCol w:w="1368"/>
        <w:gridCol w:w="1344"/>
        <w:gridCol w:w="1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7"/>
            <w:shd w:val="clear" w:color="auto" w:fill="auto"/>
            <w:vAlign w:val="center"/>
          </w:tcPr>
          <w:p>
            <w:pPr>
              <w:spacing w:line="300" w:lineRule="exact"/>
              <w:rPr>
                <w:rFonts w:ascii="仿宋" w:hAnsi="仿宋" w:eastAsia="仿宋" w:cs="Times New Roman"/>
                <w:b/>
              </w:rPr>
            </w:pPr>
            <w:r>
              <w:rPr>
                <w:rFonts w:hint="eastAsia" w:ascii="仿宋" w:hAnsi="仿宋" w:eastAsia="仿宋" w:cs="Times New Roman"/>
                <w:b/>
              </w:rPr>
              <w:t>通过对4000吨县储备粮的维护管理，维护粮食市场稳定，有效发挥县级储备粮在宏观调控中的作用。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1" w:hRule="atLeast"/>
          <w:tblHeader/>
          <w:jc w:val="center"/>
        </w:trPr>
        <w:tc>
          <w:tcPr>
            <w:tcW w:w="2409"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1834"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44"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2352"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3612" w:type="dxa"/>
            <w:gridSpan w:val="3"/>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1911"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2" w:hRule="atLeast"/>
          <w:tblHeader/>
          <w:jc w:val="center"/>
        </w:trPr>
        <w:tc>
          <w:tcPr>
            <w:tcW w:w="2409" w:type="dxa"/>
            <w:vMerge w:val="continue"/>
            <w:shd w:val="clear" w:color="auto" w:fill="auto"/>
            <w:vAlign w:val="center"/>
          </w:tcPr>
          <w:p>
            <w:pPr>
              <w:spacing w:line="300" w:lineRule="exact"/>
              <w:jc w:val="center"/>
            </w:pPr>
          </w:p>
        </w:tc>
        <w:tc>
          <w:tcPr>
            <w:tcW w:w="1834" w:type="dxa"/>
            <w:vMerge w:val="continue"/>
            <w:shd w:val="clear" w:color="auto" w:fill="auto"/>
            <w:vAlign w:val="center"/>
          </w:tcPr>
          <w:p>
            <w:pPr>
              <w:spacing w:line="300" w:lineRule="exact"/>
              <w:jc w:val="center"/>
            </w:pPr>
          </w:p>
        </w:tc>
        <w:tc>
          <w:tcPr>
            <w:tcW w:w="1944" w:type="dxa"/>
            <w:vMerge w:val="continue"/>
            <w:shd w:val="clear" w:color="auto" w:fill="auto"/>
            <w:vAlign w:val="center"/>
          </w:tcPr>
          <w:p>
            <w:pPr>
              <w:spacing w:line="300" w:lineRule="exact"/>
              <w:jc w:val="center"/>
            </w:pPr>
          </w:p>
        </w:tc>
        <w:tc>
          <w:tcPr>
            <w:tcW w:w="2352" w:type="dxa"/>
            <w:vMerge w:val="continue"/>
            <w:shd w:val="clear" w:color="auto" w:fill="auto"/>
            <w:vAlign w:val="center"/>
          </w:tcPr>
          <w:p>
            <w:pPr>
              <w:spacing w:line="300" w:lineRule="exact"/>
              <w:jc w:val="center"/>
            </w:pPr>
          </w:p>
        </w:tc>
        <w:tc>
          <w:tcPr>
            <w:tcW w:w="900" w:type="dxa"/>
            <w:shd w:val="clear" w:color="auto" w:fill="auto"/>
            <w:vAlign w:val="center"/>
          </w:tcPr>
          <w:p>
            <w:pPr>
              <w:widowControl/>
              <w:jc w:val="center"/>
              <w:textAlignment w:val="center"/>
              <w:rPr>
                <w:rFonts w:ascii="仿宋" w:hAnsi="仿宋" w:eastAsia="仿宋" w:cs="Times New Roman"/>
                <w:b/>
              </w:rPr>
            </w:pPr>
            <w:r>
              <w:rPr>
                <w:rFonts w:hint="eastAsia" w:ascii="宋体" w:hAnsi="宋体" w:cs="宋体"/>
                <w:color w:val="000000"/>
                <w:kern w:val="0"/>
                <w:sz w:val="16"/>
                <w:szCs w:val="16"/>
                <w:lang w:bidi="ar"/>
              </w:rPr>
              <w:t>符号</w:t>
            </w:r>
          </w:p>
        </w:tc>
        <w:tc>
          <w:tcPr>
            <w:tcW w:w="1368" w:type="dxa"/>
            <w:shd w:val="clear" w:color="auto" w:fill="auto"/>
            <w:vAlign w:val="center"/>
          </w:tcPr>
          <w:p>
            <w:pPr>
              <w:widowControl/>
              <w:jc w:val="center"/>
              <w:textAlignment w:val="center"/>
              <w:rPr>
                <w:rFonts w:ascii="仿宋" w:hAnsi="仿宋" w:eastAsia="仿宋" w:cs="Times New Roman"/>
                <w:b/>
              </w:rPr>
            </w:pPr>
            <w:r>
              <w:rPr>
                <w:rFonts w:hint="eastAsia" w:ascii="宋体" w:hAnsi="宋体" w:cs="宋体"/>
                <w:color w:val="000000"/>
                <w:kern w:val="0"/>
                <w:sz w:val="16"/>
                <w:szCs w:val="16"/>
                <w:lang w:bidi="ar"/>
              </w:rPr>
              <w:t>值</w:t>
            </w:r>
          </w:p>
        </w:tc>
        <w:tc>
          <w:tcPr>
            <w:tcW w:w="1344" w:type="dxa"/>
            <w:shd w:val="clear" w:color="auto" w:fill="auto"/>
            <w:vAlign w:val="center"/>
          </w:tcPr>
          <w:p>
            <w:pPr>
              <w:widowControl/>
              <w:jc w:val="center"/>
              <w:textAlignment w:val="center"/>
              <w:rPr>
                <w:rFonts w:ascii="仿宋" w:hAnsi="仿宋" w:eastAsia="仿宋" w:cs="Times New Roman"/>
                <w:b/>
              </w:rPr>
            </w:pPr>
            <w:r>
              <w:rPr>
                <w:rFonts w:hint="eastAsia" w:ascii="宋体" w:hAnsi="宋体" w:cs="宋体"/>
                <w:color w:val="000000"/>
                <w:kern w:val="0"/>
                <w:sz w:val="16"/>
                <w:szCs w:val="16"/>
                <w:lang w:bidi="ar"/>
              </w:rPr>
              <w:t>单位（文字描述）</w:t>
            </w:r>
          </w:p>
        </w:tc>
        <w:tc>
          <w:tcPr>
            <w:tcW w:w="1911" w:type="dxa"/>
            <w:vMerge w:val="continue"/>
            <w:shd w:val="clear" w:color="auto" w:fill="auto"/>
            <w:vAlign w:val="center"/>
          </w:tcPr>
          <w:p>
            <w:pPr>
              <w:spacing w:line="300" w:lineRule="exact"/>
              <w:jc w:val="center"/>
              <w:rPr>
                <w:rFonts w:ascii="仿宋" w:hAnsi="仿宋" w:eastAsia="仿宋"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数量</w:t>
            </w:r>
          </w:p>
        </w:tc>
        <w:tc>
          <w:tcPr>
            <w:tcW w:w="1944"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县储备粮</w:t>
            </w:r>
          </w:p>
        </w:tc>
        <w:tc>
          <w:tcPr>
            <w:tcW w:w="2352"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县储备粮数量</w:t>
            </w:r>
          </w:p>
        </w:tc>
        <w:tc>
          <w:tcPr>
            <w:tcW w:w="900"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w:t>
            </w:r>
          </w:p>
        </w:tc>
        <w:tc>
          <w:tcPr>
            <w:tcW w:w="13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4000</w:t>
            </w:r>
          </w:p>
        </w:tc>
        <w:tc>
          <w:tcPr>
            <w:tcW w:w="134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吨</w:t>
            </w:r>
          </w:p>
        </w:tc>
        <w:tc>
          <w:tcPr>
            <w:tcW w:w="1911"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大政办【2019】75号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质量</w:t>
            </w:r>
          </w:p>
        </w:tc>
        <w:tc>
          <w:tcPr>
            <w:tcW w:w="1944"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通报率</w:t>
            </w:r>
          </w:p>
        </w:tc>
        <w:tc>
          <w:tcPr>
            <w:tcW w:w="2352"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上级通报率</w:t>
            </w:r>
          </w:p>
        </w:tc>
        <w:tc>
          <w:tcPr>
            <w:tcW w:w="900"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w:t>
            </w:r>
          </w:p>
        </w:tc>
        <w:tc>
          <w:tcPr>
            <w:tcW w:w="13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0</w:t>
            </w:r>
          </w:p>
        </w:tc>
        <w:tc>
          <w:tcPr>
            <w:tcW w:w="134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w:t>
            </w:r>
          </w:p>
        </w:tc>
        <w:tc>
          <w:tcPr>
            <w:tcW w:w="1911"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时效</w:t>
            </w:r>
          </w:p>
        </w:tc>
        <w:tc>
          <w:tcPr>
            <w:tcW w:w="1944"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拨付及时性</w:t>
            </w:r>
          </w:p>
        </w:tc>
        <w:tc>
          <w:tcPr>
            <w:tcW w:w="2352"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储备粮管理费拨付及时性</w:t>
            </w:r>
          </w:p>
        </w:tc>
        <w:tc>
          <w:tcPr>
            <w:tcW w:w="900" w:type="dxa"/>
            <w:shd w:val="clear" w:color="auto" w:fill="auto"/>
            <w:vAlign w:val="center"/>
          </w:tcPr>
          <w:p>
            <w:pPr>
              <w:jc w:val="center"/>
              <w:rPr>
                <w:rFonts w:ascii="仿宋" w:hAnsi="仿宋" w:eastAsia="仿宋" w:cs="Times New Roman"/>
              </w:rPr>
            </w:pPr>
          </w:p>
        </w:tc>
        <w:tc>
          <w:tcPr>
            <w:tcW w:w="136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每季度末月底前</w:t>
            </w:r>
          </w:p>
        </w:tc>
        <w:tc>
          <w:tcPr>
            <w:tcW w:w="1344" w:type="dxa"/>
            <w:shd w:val="clear" w:color="auto" w:fill="auto"/>
            <w:vAlign w:val="center"/>
          </w:tcPr>
          <w:p>
            <w:pPr>
              <w:jc w:val="center"/>
              <w:rPr>
                <w:rFonts w:ascii="仿宋" w:hAnsi="仿宋" w:eastAsia="仿宋" w:cs="Times New Roman"/>
              </w:rPr>
            </w:pPr>
          </w:p>
        </w:tc>
        <w:tc>
          <w:tcPr>
            <w:tcW w:w="1911"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大政办【2019】75号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成本</w:t>
            </w:r>
          </w:p>
        </w:tc>
        <w:tc>
          <w:tcPr>
            <w:tcW w:w="1944"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存储成本</w:t>
            </w:r>
          </w:p>
        </w:tc>
        <w:tc>
          <w:tcPr>
            <w:tcW w:w="2352"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每吨存储粮存储成本</w:t>
            </w:r>
          </w:p>
        </w:tc>
        <w:tc>
          <w:tcPr>
            <w:tcW w:w="900"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w:t>
            </w:r>
          </w:p>
        </w:tc>
        <w:tc>
          <w:tcPr>
            <w:tcW w:w="13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86</w:t>
            </w:r>
          </w:p>
        </w:tc>
        <w:tc>
          <w:tcPr>
            <w:tcW w:w="134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元/吨</w:t>
            </w:r>
          </w:p>
        </w:tc>
        <w:tc>
          <w:tcPr>
            <w:tcW w:w="1911"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大政办【2019】75号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社会效益</w:t>
            </w:r>
          </w:p>
        </w:tc>
        <w:tc>
          <w:tcPr>
            <w:tcW w:w="1944"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保障县储备粮存储需求</w:t>
            </w:r>
          </w:p>
        </w:tc>
        <w:tc>
          <w:tcPr>
            <w:tcW w:w="2352"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保障存储粮足额足量</w:t>
            </w:r>
          </w:p>
        </w:tc>
        <w:tc>
          <w:tcPr>
            <w:tcW w:w="900"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w:t>
            </w:r>
          </w:p>
        </w:tc>
        <w:tc>
          <w:tcPr>
            <w:tcW w:w="13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100</w:t>
            </w:r>
          </w:p>
        </w:tc>
        <w:tc>
          <w:tcPr>
            <w:tcW w:w="134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w:t>
            </w:r>
          </w:p>
        </w:tc>
        <w:tc>
          <w:tcPr>
            <w:tcW w:w="1911"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大政办【2019】75号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可持续影响</w:t>
            </w:r>
          </w:p>
        </w:tc>
        <w:tc>
          <w:tcPr>
            <w:tcW w:w="1944"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发挥储备粮的宏观调控作用</w:t>
            </w:r>
          </w:p>
        </w:tc>
        <w:tc>
          <w:tcPr>
            <w:tcW w:w="2352"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宏观调控、稳定市场、应急供应</w:t>
            </w:r>
          </w:p>
        </w:tc>
        <w:tc>
          <w:tcPr>
            <w:tcW w:w="900" w:type="dxa"/>
            <w:shd w:val="clear" w:color="auto" w:fill="auto"/>
            <w:vAlign w:val="center"/>
          </w:tcPr>
          <w:p>
            <w:pPr>
              <w:jc w:val="center"/>
              <w:rPr>
                <w:rFonts w:ascii="仿宋" w:hAnsi="仿宋" w:eastAsia="仿宋" w:cs="Times New Roman"/>
              </w:rPr>
            </w:pPr>
          </w:p>
        </w:tc>
        <w:tc>
          <w:tcPr>
            <w:tcW w:w="13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长期</w:t>
            </w:r>
          </w:p>
        </w:tc>
        <w:tc>
          <w:tcPr>
            <w:tcW w:w="1344" w:type="dxa"/>
            <w:shd w:val="clear" w:color="auto" w:fill="auto"/>
            <w:vAlign w:val="center"/>
          </w:tcPr>
          <w:p>
            <w:pPr>
              <w:jc w:val="center"/>
              <w:rPr>
                <w:rFonts w:ascii="仿宋" w:hAnsi="仿宋" w:eastAsia="仿宋" w:cs="Times New Roman"/>
              </w:rPr>
            </w:pPr>
          </w:p>
        </w:tc>
        <w:tc>
          <w:tcPr>
            <w:tcW w:w="1911"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6"/>
                <w:szCs w:val="16"/>
                <w:lang w:bidi="ar"/>
              </w:rPr>
              <w:t>大政办【2019】75号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183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6"/>
                <w:szCs w:val="16"/>
                <w:lang w:bidi="ar"/>
              </w:rPr>
              <w:t>满意度</w:t>
            </w:r>
          </w:p>
        </w:tc>
        <w:tc>
          <w:tcPr>
            <w:tcW w:w="1944"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6"/>
                <w:szCs w:val="16"/>
                <w:lang w:bidi="ar"/>
              </w:rPr>
              <w:t>受益人群满意度</w:t>
            </w:r>
          </w:p>
        </w:tc>
        <w:tc>
          <w:tcPr>
            <w:tcW w:w="2352"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6"/>
                <w:szCs w:val="16"/>
                <w:lang w:bidi="ar"/>
              </w:rPr>
              <w:t>满意人数占总人数的百分比</w:t>
            </w:r>
          </w:p>
        </w:tc>
        <w:tc>
          <w:tcPr>
            <w:tcW w:w="900"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6"/>
                <w:szCs w:val="16"/>
                <w:lang w:bidi="ar"/>
              </w:rPr>
              <w:t>≥</w:t>
            </w:r>
          </w:p>
        </w:tc>
        <w:tc>
          <w:tcPr>
            <w:tcW w:w="1368"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6"/>
                <w:szCs w:val="16"/>
                <w:lang w:bidi="ar"/>
              </w:rPr>
              <w:t>95</w:t>
            </w:r>
          </w:p>
        </w:tc>
        <w:tc>
          <w:tcPr>
            <w:tcW w:w="1344"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6"/>
                <w:szCs w:val="16"/>
                <w:lang w:bidi="ar"/>
              </w:rPr>
              <w:t>％</w:t>
            </w:r>
          </w:p>
        </w:tc>
        <w:tc>
          <w:tcPr>
            <w:tcW w:w="1911"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6"/>
                <w:szCs w:val="16"/>
                <w:lang w:bidi="ar"/>
              </w:rPr>
              <w:t>问卷调查</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hint="eastAsia" w:ascii="仿宋" w:hAnsi="仿宋" w:eastAsia="仿宋" w:cs="Times New Roman"/>
          <w:sz w:val="28"/>
        </w:rPr>
        <w:t>民营企业家培训经费</w:t>
      </w:r>
      <w:r>
        <w:rPr>
          <w:rFonts w:ascii="仿宋" w:hAnsi="仿宋" w:eastAsia="仿宋" w:cs="Times New Roman"/>
          <w:sz w:val="28"/>
        </w:rPr>
        <w:t>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0"/>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3"/>
        <w:gridCol w:w="1068"/>
        <w:gridCol w:w="1428"/>
        <w:gridCol w:w="1920"/>
        <w:gridCol w:w="1104"/>
        <w:gridCol w:w="1092"/>
        <w:gridCol w:w="984"/>
        <w:gridCol w:w="5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2639" w:type="dxa"/>
            <w:gridSpan w:val="7"/>
            <w:shd w:val="clear" w:color="auto" w:fill="auto"/>
            <w:vAlign w:val="center"/>
          </w:tcPr>
          <w:p>
            <w:pPr>
              <w:spacing w:line="300" w:lineRule="exact"/>
              <w:rPr>
                <w:rFonts w:ascii="仿宋" w:hAnsi="仿宋" w:eastAsia="仿宋" w:cs="Times New Roman"/>
                <w:b/>
              </w:rPr>
            </w:pPr>
            <w:r>
              <w:rPr>
                <w:rFonts w:hint="eastAsia" w:ascii="仿宋" w:hAnsi="仿宋" w:eastAsia="仿宋" w:cs="Times New Roman"/>
                <w:b/>
              </w:rPr>
              <w:t>通过项目实施逐渐提高民营企业家经营素质，完善中小企业服务体系建设，与国内211、985等重点院校开展合作，全年总计实施企业家培训2次，帮助县域中小企业家60人次左右。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1" w:hRule="atLeast"/>
          <w:tblHeader/>
          <w:jc w:val="center"/>
        </w:trPr>
        <w:tc>
          <w:tcPr>
            <w:tcW w:w="1423"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1068"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428"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1920"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3180" w:type="dxa"/>
            <w:gridSpan w:val="3"/>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5043" w:type="dxa"/>
            <w:vMerge w:val="restart"/>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6" w:hRule="atLeast"/>
          <w:tblHeader/>
          <w:jc w:val="center"/>
        </w:trPr>
        <w:tc>
          <w:tcPr>
            <w:tcW w:w="1423" w:type="dxa"/>
            <w:vMerge w:val="continue"/>
            <w:shd w:val="clear" w:color="auto" w:fill="auto"/>
            <w:vAlign w:val="center"/>
          </w:tcPr>
          <w:p>
            <w:pPr>
              <w:spacing w:line="300" w:lineRule="exact"/>
              <w:jc w:val="center"/>
            </w:pPr>
          </w:p>
        </w:tc>
        <w:tc>
          <w:tcPr>
            <w:tcW w:w="1068" w:type="dxa"/>
            <w:vMerge w:val="continue"/>
            <w:shd w:val="clear" w:color="auto" w:fill="auto"/>
            <w:vAlign w:val="center"/>
          </w:tcPr>
          <w:p>
            <w:pPr>
              <w:spacing w:line="300" w:lineRule="exact"/>
              <w:jc w:val="center"/>
            </w:pPr>
          </w:p>
        </w:tc>
        <w:tc>
          <w:tcPr>
            <w:tcW w:w="1428" w:type="dxa"/>
            <w:vMerge w:val="continue"/>
            <w:shd w:val="clear" w:color="auto" w:fill="auto"/>
            <w:vAlign w:val="center"/>
          </w:tcPr>
          <w:p>
            <w:pPr>
              <w:spacing w:line="300" w:lineRule="exact"/>
              <w:jc w:val="center"/>
            </w:pPr>
          </w:p>
        </w:tc>
        <w:tc>
          <w:tcPr>
            <w:tcW w:w="1920" w:type="dxa"/>
            <w:vMerge w:val="continue"/>
            <w:shd w:val="clear" w:color="auto" w:fill="auto"/>
            <w:vAlign w:val="center"/>
          </w:tcPr>
          <w:p>
            <w:pPr>
              <w:spacing w:line="300" w:lineRule="exact"/>
              <w:jc w:val="center"/>
            </w:pPr>
          </w:p>
        </w:tc>
        <w:tc>
          <w:tcPr>
            <w:tcW w:w="1104" w:type="dxa"/>
            <w:shd w:val="clear" w:color="auto" w:fill="auto"/>
            <w:vAlign w:val="center"/>
          </w:tcPr>
          <w:p>
            <w:pPr>
              <w:widowControl/>
              <w:jc w:val="center"/>
              <w:textAlignment w:val="center"/>
              <w:rPr>
                <w:rFonts w:ascii="仿宋" w:hAnsi="仿宋" w:eastAsia="仿宋" w:cs="Times New Roman"/>
                <w:b/>
              </w:rPr>
            </w:pPr>
            <w:r>
              <w:rPr>
                <w:rFonts w:hint="eastAsia" w:ascii="宋体" w:hAnsi="宋体" w:cs="宋体"/>
                <w:color w:val="000000"/>
                <w:kern w:val="0"/>
                <w:sz w:val="18"/>
                <w:szCs w:val="18"/>
                <w:lang w:bidi="ar"/>
              </w:rPr>
              <w:t>符号</w:t>
            </w:r>
          </w:p>
        </w:tc>
        <w:tc>
          <w:tcPr>
            <w:tcW w:w="1092" w:type="dxa"/>
            <w:shd w:val="clear" w:color="auto" w:fill="auto"/>
            <w:vAlign w:val="center"/>
          </w:tcPr>
          <w:p>
            <w:pPr>
              <w:widowControl/>
              <w:jc w:val="center"/>
              <w:textAlignment w:val="center"/>
              <w:rPr>
                <w:rFonts w:ascii="仿宋" w:hAnsi="仿宋" w:eastAsia="仿宋" w:cs="Times New Roman"/>
                <w:b/>
              </w:rPr>
            </w:pPr>
            <w:r>
              <w:rPr>
                <w:rFonts w:hint="eastAsia" w:ascii="宋体" w:hAnsi="宋体" w:cs="宋体"/>
                <w:color w:val="000000"/>
                <w:kern w:val="0"/>
                <w:sz w:val="18"/>
                <w:szCs w:val="18"/>
                <w:lang w:bidi="ar"/>
              </w:rPr>
              <w:t>值</w:t>
            </w:r>
          </w:p>
        </w:tc>
        <w:tc>
          <w:tcPr>
            <w:tcW w:w="984" w:type="dxa"/>
            <w:shd w:val="clear" w:color="auto" w:fill="auto"/>
            <w:vAlign w:val="center"/>
          </w:tcPr>
          <w:p>
            <w:pPr>
              <w:widowControl/>
              <w:jc w:val="center"/>
              <w:textAlignment w:val="center"/>
              <w:rPr>
                <w:rFonts w:ascii="仿宋" w:hAnsi="仿宋" w:eastAsia="仿宋" w:cs="Times New Roman"/>
                <w:b/>
              </w:rPr>
            </w:pPr>
            <w:r>
              <w:rPr>
                <w:rFonts w:hint="eastAsia" w:ascii="宋体" w:hAnsi="宋体" w:cs="宋体"/>
                <w:color w:val="000000"/>
                <w:kern w:val="0"/>
                <w:sz w:val="18"/>
                <w:szCs w:val="18"/>
                <w:lang w:bidi="ar"/>
              </w:rPr>
              <w:t>单位（文字描述）</w:t>
            </w:r>
          </w:p>
        </w:tc>
        <w:tc>
          <w:tcPr>
            <w:tcW w:w="5043" w:type="dxa"/>
            <w:vMerge w:val="continue"/>
            <w:shd w:val="clear" w:color="auto" w:fill="auto"/>
            <w:vAlign w:val="center"/>
          </w:tcPr>
          <w:p>
            <w:pPr>
              <w:spacing w:line="300" w:lineRule="exact"/>
              <w:jc w:val="center"/>
              <w:rPr>
                <w:rFonts w:ascii="仿宋" w:hAnsi="仿宋" w:eastAsia="仿宋"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数量</w:t>
            </w:r>
          </w:p>
        </w:tc>
        <w:tc>
          <w:tcPr>
            <w:tcW w:w="142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培训次数</w:t>
            </w:r>
          </w:p>
        </w:tc>
        <w:tc>
          <w:tcPr>
            <w:tcW w:w="1920"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全年全年培训总次数</w:t>
            </w:r>
          </w:p>
        </w:tc>
        <w:tc>
          <w:tcPr>
            <w:tcW w:w="110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2</w:t>
            </w:r>
          </w:p>
        </w:tc>
        <w:tc>
          <w:tcPr>
            <w:tcW w:w="98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次</w:t>
            </w:r>
          </w:p>
        </w:tc>
        <w:tc>
          <w:tcPr>
            <w:tcW w:w="5043"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廊发[2018]42号《关于营造企业家健康成长环境弘扬优秀企业家精神更好发挥企业家作用的实施意见》和2020年度企业家培训实施计划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continue"/>
            <w:shd w:val="clear" w:color="auto" w:fill="auto"/>
            <w:vAlign w:val="center"/>
          </w:tcPr>
          <w:p>
            <w:pPr>
              <w:rPr>
                <w:rFonts w:ascii="仿宋" w:hAnsi="仿宋" w:eastAsia="仿宋"/>
              </w:rPr>
            </w:pP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数量</w:t>
            </w:r>
          </w:p>
        </w:tc>
        <w:tc>
          <w:tcPr>
            <w:tcW w:w="142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培训人次</w:t>
            </w:r>
          </w:p>
        </w:tc>
        <w:tc>
          <w:tcPr>
            <w:tcW w:w="1920"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全年参加培训总人次</w:t>
            </w:r>
          </w:p>
        </w:tc>
        <w:tc>
          <w:tcPr>
            <w:tcW w:w="110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60</w:t>
            </w:r>
          </w:p>
        </w:tc>
        <w:tc>
          <w:tcPr>
            <w:tcW w:w="98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人</w:t>
            </w:r>
          </w:p>
        </w:tc>
        <w:tc>
          <w:tcPr>
            <w:tcW w:w="5043"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廊发[2018]42号《关于营造企业家健康成长环境弘扬优秀企业家精神更好发挥企业家作用的实施意见》和2020年度企业家培训实施计划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continue"/>
            <w:shd w:val="clear" w:color="auto" w:fill="auto"/>
            <w:vAlign w:val="center"/>
          </w:tcPr>
          <w:p>
            <w:pPr>
              <w:rPr>
                <w:rFonts w:ascii="仿宋" w:hAnsi="仿宋" w:eastAsia="仿宋"/>
              </w:rPr>
            </w:pP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质量</w:t>
            </w:r>
          </w:p>
        </w:tc>
        <w:tc>
          <w:tcPr>
            <w:tcW w:w="142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培训合格率</w:t>
            </w:r>
          </w:p>
        </w:tc>
        <w:tc>
          <w:tcPr>
            <w:tcW w:w="1920"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培训合格的学员数量占培训总学员数量的比率</w:t>
            </w:r>
          </w:p>
        </w:tc>
        <w:tc>
          <w:tcPr>
            <w:tcW w:w="110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95</w:t>
            </w:r>
          </w:p>
        </w:tc>
        <w:tc>
          <w:tcPr>
            <w:tcW w:w="98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5043"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培训试卷分数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continue"/>
            <w:shd w:val="clear" w:color="auto" w:fill="auto"/>
            <w:vAlign w:val="center"/>
          </w:tcPr>
          <w:p>
            <w:pPr>
              <w:rPr>
                <w:rFonts w:ascii="仿宋" w:hAnsi="仿宋" w:eastAsia="仿宋"/>
              </w:rPr>
            </w:pP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时效</w:t>
            </w:r>
          </w:p>
        </w:tc>
        <w:tc>
          <w:tcPr>
            <w:tcW w:w="142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培训时长</w:t>
            </w:r>
          </w:p>
        </w:tc>
        <w:tc>
          <w:tcPr>
            <w:tcW w:w="1920"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单次培训时长</w:t>
            </w:r>
          </w:p>
        </w:tc>
        <w:tc>
          <w:tcPr>
            <w:tcW w:w="110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2</w:t>
            </w:r>
          </w:p>
        </w:tc>
        <w:tc>
          <w:tcPr>
            <w:tcW w:w="98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天</w:t>
            </w:r>
          </w:p>
        </w:tc>
        <w:tc>
          <w:tcPr>
            <w:tcW w:w="5043"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continue"/>
            <w:shd w:val="clear" w:color="auto" w:fill="auto"/>
            <w:vAlign w:val="center"/>
          </w:tcPr>
          <w:p>
            <w:pPr>
              <w:rPr>
                <w:rFonts w:ascii="仿宋" w:hAnsi="仿宋" w:eastAsia="仿宋"/>
              </w:rPr>
            </w:pP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成本</w:t>
            </w:r>
          </w:p>
        </w:tc>
        <w:tc>
          <w:tcPr>
            <w:tcW w:w="142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培训费用</w:t>
            </w:r>
          </w:p>
        </w:tc>
        <w:tc>
          <w:tcPr>
            <w:tcW w:w="1920"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每次培训期间所发生的各项费用</w:t>
            </w:r>
          </w:p>
        </w:tc>
        <w:tc>
          <w:tcPr>
            <w:tcW w:w="110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23.5</w:t>
            </w:r>
          </w:p>
        </w:tc>
        <w:tc>
          <w:tcPr>
            <w:tcW w:w="98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万元</w:t>
            </w:r>
          </w:p>
        </w:tc>
        <w:tc>
          <w:tcPr>
            <w:tcW w:w="5043"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廊发[2018]43号关于营造企业家健康成长环境弘扬优秀企业家精神更好发挥企业家作用的实施意见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社会效益</w:t>
            </w:r>
          </w:p>
        </w:tc>
        <w:tc>
          <w:tcPr>
            <w:tcW w:w="1428"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提高企业竞争能力</w:t>
            </w:r>
          </w:p>
        </w:tc>
        <w:tc>
          <w:tcPr>
            <w:tcW w:w="1920"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企业竞争能力与上年的比率</w:t>
            </w:r>
          </w:p>
        </w:tc>
        <w:tc>
          <w:tcPr>
            <w:tcW w:w="1104"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cs="Calibri"/>
                <w:color w:val="000000"/>
                <w:kern w:val="0"/>
                <w:sz w:val="18"/>
                <w:szCs w:val="18"/>
                <w:lang w:bidi="ar"/>
              </w:rPr>
              <w:t>30</w:t>
            </w:r>
          </w:p>
        </w:tc>
        <w:tc>
          <w:tcPr>
            <w:tcW w:w="984" w:type="dxa"/>
            <w:shd w:val="clear" w:color="auto" w:fill="auto"/>
            <w:vAlign w:val="center"/>
          </w:tcPr>
          <w:p>
            <w:pPr>
              <w:widowControl/>
              <w:jc w:val="center"/>
              <w:textAlignment w:val="center"/>
              <w:rPr>
                <w:rFonts w:ascii="仿宋" w:hAnsi="仿宋" w:eastAsia="仿宋" w:cs="Times New Roman"/>
              </w:rPr>
            </w:pPr>
            <w:r>
              <w:rPr>
                <w:rFonts w:cs="Calibri"/>
                <w:color w:val="000000"/>
                <w:kern w:val="0"/>
                <w:sz w:val="18"/>
                <w:szCs w:val="18"/>
                <w:lang w:bidi="ar"/>
              </w:rPr>
              <w:t>%</w:t>
            </w:r>
          </w:p>
        </w:tc>
        <w:tc>
          <w:tcPr>
            <w:tcW w:w="5043"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廊发[2018]43号关于营造企业家健康成长环境弘扬优秀企业家精神更好发挥企业家作用的实施意见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vMerge w:val="continue"/>
            <w:shd w:val="clear" w:color="auto" w:fill="auto"/>
            <w:vAlign w:val="center"/>
          </w:tcPr>
          <w:p>
            <w:pPr>
              <w:rPr>
                <w:rFonts w:ascii="仿宋" w:hAnsi="仿宋" w:eastAsia="仿宋"/>
              </w:rPr>
            </w:pPr>
          </w:p>
        </w:tc>
        <w:tc>
          <w:tcPr>
            <w:tcW w:w="1068"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可持续影响</w:t>
            </w:r>
          </w:p>
        </w:tc>
        <w:tc>
          <w:tcPr>
            <w:tcW w:w="1428"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提升县域企业经营管理能力</w:t>
            </w:r>
          </w:p>
        </w:tc>
        <w:tc>
          <w:tcPr>
            <w:tcW w:w="1920"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提升县域企业经营管理能力</w:t>
            </w:r>
          </w:p>
        </w:tc>
        <w:tc>
          <w:tcPr>
            <w:tcW w:w="1104" w:type="dxa"/>
            <w:shd w:val="clear" w:color="auto" w:fill="auto"/>
            <w:vAlign w:val="center"/>
          </w:tcPr>
          <w:p>
            <w:pPr>
              <w:jc w:val="center"/>
              <w:rPr>
                <w:rFonts w:ascii="仿宋" w:hAnsi="仿宋" w:eastAsia="仿宋" w:cs="Times New Roman"/>
              </w:rPr>
            </w:pPr>
          </w:p>
        </w:tc>
        <w:tc>
          <w:tcPr>
            <w:tcW w:w="1092" w:type="dxa"/>
            <w:shd w:val="clear" w:color="auto" w:fill="auto"/>
            <w:vAlign w:val="center"/>
          </w:tcPr>
          <w:p>
            <w:pPr>
              <w:widowControl/>
              <w:jc w:val="center"/>
              <w:textAlignment w:val="center"/>
              <w:rPr>
                <w:rFonts w:ascii="仿宋" w:hAnsi="仿宋" w:eastAsia="仿宋" w:cs="Times New Roman"/>
              </w:rPr>
            </w:pPr>
            <w:r>
              <w:rPr>
                <w:rFonts w:hint="eastAsia" w:ascii="宋体" w:hAnsi="宋体" w:cs="宋体"/>
                <w:color w:val="000000"/>
                <w:kern w:val="0"/>
                <w:sz w:val="18"/>
                <w:szCs w:val="18"/>
                <w:lang w:bidi="ar"/>
              </w:rPr>
              <w:t>长期</w:t>
            </w:r>
          </w:p>
        </w:tc>
        <w:tc>
          <w:tcPr>
            <w:tcW w:w="984" w:type="dxa"/>
            <w:shd w:val="clear" w:color="auto" w:fill="auto"/>
            <w:vAlign w:val="center"/>
          </w:tcPr>
          <w:p>
            <w:pPr>
              <w:jc w:val="center"/>
              <w:rPr>
                <w:rFonts w:ascii="仿宋" w:hAnsi="仿宋" w:eastAsia="仿宋" w:cs="Times New Roman"/>
              </w:rPr>
            </w:pPr>
          </w:p>
        </w:tc>
        <w:tc>
          <w:tcPr>
            <w:tcW w:w="5043"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廊发[2018]43号关于营造企业家健康成长环境弘扬优秀企业家精神更好发挥企业家作用的实施意见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3"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106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满意度</w:t>
            </w:r>
          </w:p>
        </w:tc>
        <w:tc>
          <w:tcPr>
            <w:tcW w:w="1428"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培训人员满意度</w:t>
            </w:r>
          </w:p>
        </w:tc>
        <w:tc>
          <w:tcPr>
            <w:tcW w:w="1920" w:type="dxa"/>
            <w:shd w:val="clear" w:color="auto" w:fill="auto"/>
            <w:vAlign w:val="center"/>
          </w:tcPr>
          <w:p>
            <w:pPr>
              <w:widowControl/>
              <w:jc w:val="left"/>
              <w:textAlignment w:val="center"/>
              <w:rPr>
                <w:rFonts w:ascii="仿宋" w:hAnsi="仿宋" w:eastAsia="仿宋" w:cs="Times New Roman"/>
              </w:rPr>
            </w:pPr>
            <w:r>
              <w:rPr>
                <w:rFonts w:ascii="仿宋_GB2312" w:hAnsi="宋体" w:eastAsia="仿宋_GB2312" w:cs="仿宋_GB2312"/>
                <w:color w:val="000000"/>
                <w:kern w:val="0"/>
                <w:sz w:val="18"/>
                <w:szCs w:val="18"/>
                <w:lang w:bidi="ar"/>
              </w:rPr>
              <w:t>参与培训企业家满意率</w:t>
            </w:r>
          </w:p>
        </w:tc>
        <w:tc>
          <w:tcPr>
            <w:tcW w:w="110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1092"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95</w:t>
            </w:r>
          </w:p>
        </w:tc>
        <w:tc>
          <w:tcPr>
            <w:tcW w:w="984" w:type="dxa"/>
            <w:shd w:val="clear" w:color="auto" w:fill="auto"/>
            <w:vAlign w:val="center"/>
          </w:tcPr>
          <w:p>
            <w:pPr>
              <w:widowControl/>
              <w:jc w:val="center"/>
              <w:textAlignment w:val="center"/>
              <w:rPr>
                <w:rFonts w:ascii="仿宋" w:hAnsi="仿宋" w:eastAsia="仿宋" w:cs="Times New Roman"/>
              </w:rPr>
            </w:pPr>
            <w:r>
              <w:rPr>
                <w:rFonts w:ascii="仿宋_GB2312" w:hAnsi="宋体" w:eastAsia="仿宋_GB2312" w:cs="仿宋_GB2312"/>
                <w:color w:val="000000"/>
                <w:kern w:val="0"/>
                <w:sz w:val="18"/>
                <w:szCs w:val="18"/>
                <w:lang w:bidi="ar"/>
              </w:rPr>
              <w:t>%</w:t>
            </w:r>
          </w:p>
        </w:tc>
        <w:tc>
          <w:tcPr>
            <w:tcW w:w="5043" w:type="dxa"/>
            <w:shd w:val="clear" w:color="auto" w:fill="auto"/>
            <w:vAlign w:val="center"/>
          </w:tcPr>
          <w:p>
            <w:pPr>
              <w:widowControl/>
              <w:jc w:val="left"/>
              <w:textAlignment w:val="center"/>
              <w:rPr>
                <w:rFonts w:ascii="仿宋" w:hAnsi="仿宋" w:eastAsia="仿宋" w:cs="Times New Roman"/>
              </w:rPr>
            </w:pPr>
            <w:r>
              <w:rPr>
                <w:rFonts w:hint="eastAsia" w:ascii="宋体" w:hAnsi="宋体" w:cs="宋体"/>
                <w:color w:val="000000"/>
                <w:kern w:val="0"/>
                <w:sz w:val="18"/>
                <w:szCs w:val="18"/>
                <w:lang w:bidi="ar"/>
              </w:rPr>
              <w:t>满意度调查问题表</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rPr>
        <w:t>234</w:t>
      </w:r>
      <w:r>
        <w:rPr>
          <w:rFonts w:ascii="仿宋" w:hAnsi="仿宋" w:eastAsia="仿宋"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大厂回族自治县发展和改革局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Cs/>
                <w:sz w:val="18"/>
                <w:szCs w:val="18"/>
              </w:rPr>
              <w:t>档案工作“三年上水平”专项经费</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80</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办公设备</w:t>
            </w: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80</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80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sz w:val="15"/>
                <w:szCs w:val="15"/>
              </w:rPr>
              <w:t>关于提前下达2022年技术创新引导专项资金预算（第一批）的通知冀财教</w:t>
            </w:r>
          </w:p>
        </w:tc>
        <w:tc>
          <w:tcPr>
            <w:tcW w:w="113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cs="Times New Roman"/>
              </w:rPr>
              <w:t>154</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委托业务</w:t>
            </w: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154</w:t>
            </w:r>
          </w:p>
        </w:tc>
        <w:tc>
          <w:tcPr>
            <w:tcW w:w="1134"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154</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大厂回族自治县发展和改革局</w:t>
      </w:r>
      <w:r>
        <w:rPr>
          <w:rFonts w:ascii="仿宋" w:hAnsi="仿宋" w:eastAsia="仿宋" w:cs="Times New Roman"/>
          <w:sz w:val="32"/>
          <w:szCs w:val="32"/>
        </w:rPr>
        <w:t>上年末固定资产金额为</w:t>
      </w:r>
      <w:r>
        <w:rPr>
          <w:rFonts w:hint="eastAsia" w:ascii="仿宋" w:hAnsi="仿宋" w:eastAsia="仿宋" w:cs="Times New Roman"/>
          <w:sz w:val="32"/>
          <w:szCs w:val="32"/>
        </w:rPr>
        <w:t>661.93</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总额为0万元，</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661.93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1936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261.41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209.15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306.2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262092"/>
    <w:rsid w:val="00277E45"/>
    <w:rsid w:val="003073D9"/>
    <w:rsid w:val="003909CD"/>
    <w:rsid w:val="00391E11"/>
    <w:rsid w:val="003F44D0"/>
    <w:rsid w:val="003F732C"/>
    <w:rsid w:val="00406D17"/>
    <w:rsid w:val="00457F81"/>
    <w:rsid w:val="004A54AA"/>
    <w:rsid w:val="004E0A4F"/>
    <w:rsid w:val="00507F82"/>
    <w:rsid w:val="0053255B"/>
    <w:rsid w:val="00536CE0"/>
    <w:rsid w:val="00611D60"/>
    <w:rsid w:val="00682F94"/>
    <w:rsid w:val="006F5923"/>
    <w:rsid w:val="00774782"/>
    <w:rsid w:val="008552EF"/>
    <w:rsid w:val="008D0101"/>
    <w:rsid w:val="008F2064"/>
    <w:rsid w:val="009832FD"/>
    <w:rsid w:val="00B0366D"/>
    <w:rsid w:val="00B80935"/>
    <w:rsid w:val="00D347CC"/>
    <w:rsid w:val="00E375C8"/>
    <w:rsid w:val="00E46D39"/>
    <w:rsid w:val="00E771B9"/>
    <w:rsid w:val="00EB49EE"/>
    <w:rsid w:val="00ED3546"/>
    <w:rsid w:val="00EE07AC"/>
    <w:rsid w:val="0FBA3058"/>
    <w:rsid w:val="12727B02"/>
    <w:rsid w:val="25C96ED2"/>
    <w:rsid w:val="2BFD2A93"/>
    <w:rsid w:val="305E1109"/>
    <w:rsid w:val="3AE50BDA"/>
    <w:rsid w:val="3B135AC5"/>
    <w:rsid w:val="3B944992"/>
    <w:rsid w:val="3C026F39"/>
    <w:rsid w:val="44B72CBD"/>
    <w:rsid w:val="50C307DE"/>
    <w:rsid w:val="55D74BFE"/>
    <w:rsid w:val="58D516B1"/>
    <w:rsid w:val="6284414A"/>
    <w:rsid w:val="6D561AF5"/>
    <w:rsid w:val="7810448F"/>
    <w:rsid w:val="785D022F"/>
    <w:rsid w:val="7A73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index 9"/>
    <w:basedOn w:val="1"/>
    <w:next w:val="1"/>
    <w:qFormat/>
    <w:uiPriority w:val="0"/>
    <w:pPr>
      <w:ind w:left="3360"/>
      <w:jc w:val="left"/>
    </w:p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Normal (Web)"/>
    <w:basedOn w:val="1"/>
    <w:next w:val="3"/>
    <w:qFormat/>
    <w:uiPriority w:val="99"/>
    <w:pPr>
      <w:spacing w:before="100" w:beforeAutospacing="1" w:after="100" w:afterAutospacing="1"/>
      <w:jc w:val="left"/>
    </w:pPr>
    <w:rPr>
      <w:rFonts w:ascii="宋体" w:hAnsi="Times New Roman"/>
      <w:sz w:val="24"/>
      <w:szCs w:val="20"/>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5">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16">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50</Pages>
  <Words>4496</Words>
  <Characters>25633</Characters>
  <Lines>213</Lines>
  <Paragraphs>60</Paragraphs>
  <TotalTime>0</TotalTime>
  <ScaleCrop>false</ScaleCrop>
  <LinksUpToDate>false</LinksUpToDate>
  <CharactersWithSpaces>30069</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2024-01-11T08:34:38Z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36600D928B47408EBCE5B8E3C57997AE</vt:lpwstr>
  </property>
</Properties>
</file>